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42 AbgG — Umwandlung oder Auflösung der Todesfallversicherung</w:t>
      </w:r>
    </w:p>
    <w:p>
      <w:r>
        <w:rPr>
          <w:color w:val="555555"/>
          <w:sz w:val="18"/>
        </w:rPr>
        <w:t xml:space="preserve">Abgeordnetengesetz</w:t>
      </w:r>
    </w:p>
    <w:p>
      <w:r>
        <w:rPr>
          <w:color w:val="555555"/>
          <w:sz w:val="18"/>
        </w:rPr>
        <w:t xml:space="preserve">Stand: 10.06.2019 (konsolidierte Textfassung, kein amtliches Inkrafttretensdatum)</w:t>
      </w:r>
    </w:p>
    <w:p>
      <w:r>
        <w:t xml:space="preserve">(1) Ein Mitglied oder ehemaliges Mitglied des Bundestages, das sich nach § 20 des Diätengesetzes 1968 für die Fortsetzung der Versicherung auf Bundeskosten entschieden hat, kann die Todesfallversicherung umwandeln oder auflösen.</w:t>
      </w:r>
    </w:p>
    <w:p>
      <w:r>
        <w:t xml:space="preserve">(2) Im Falle der Umwandlung besteht die Möglichkeit der Fortsetzung auf eigene Kosten oder der beitragsfreien Versicherung mit der Maßgabe, daß die zu zahlende Altersentschädigung und das Witwengeld entsprechend der Zahl und der Höhe der von der Versicherungsnehmerin in der Zeit vom 1. Januar 1968 bis zum Ablauf des Monats der Umwandlung oder bis zur Gewährung von Altersentschädigung geleisteten Beiträge gekürzt wird.</w:t>
      </w:r>
    </w:p>
    <w:p>
      <w:r>
        <w:t xml:space="preserve">(3) Bei Auflösung der Versicherung wird dem Versicherten der auf eigenen Beiträgen beruhende Rückkaufswert erstattet.</w:t>
      </w:r>
    </w:p>
    <w:p>
      <w:r>
        <w:rPr>
          <w:color w:val="555555"/>
          <w:sz w:val="17"/>
        </w:rPr>
        <w:t xml:space="preserve">Zitiervorschlag: § 42 AbgG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https://recht.nulegal.eu/gesetze/AbgG/42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