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AbgG — Fortsetzung der Todesfallversicherung</w:t>
      </w:r>
    </w:p>
    <w:p>
      <w:r>
        <w:rPr>
          <w:color w:val="555555"/>
          <w:sz w:val="18"/>
        </w:rPr>
        <w:t xml:space="preserve">Abgeordnetengesetz</w:t>
      </w:r>
    </w:p>
    <w:p>
      <w:r>
        <w:rPr>
          <w:color w:val="555555"/>
          <w:sz w:val="18"/>
        </w:rPr>
        <w:t xml:space="preserve">Stand: 10.06.2019 (konsolidierte Textfassung, kein amtliches Inkrafttretensdatum)</w:t>
      </w:r>
    </w:p>
    <w:p>
      <w:r>
        <w:t xml:space="preserve">Die bei Inkrafttreten dieses Gesetzes bestehende Todesfallversicherung wird mit der Maßgabe fortgesetzt, daß die zu zahlende Altersentschädigung und das Witwengeld entsprechend der Zahl und der Höhe der seit dem 1. Januar 1968 geleisteten monatlichen Beiträge der Versicherungsnehmerin zu der Todesfallversicherung gekürzt werden.</w:t>
      </w:r>
    </w:p>
    <w:p>
      <w:r>
        <w:rPr>
          <w:color w:val="555555"/>
          <w:sz w:val="17"/>
        </w:rPr>
        <w:t xml:space="preserve">Zitiervorschlag: § 41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