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AbgG — Anrechnung früherer Versorgungsbezüge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Versorgungsbezüge nach dem Diätengesetz 1968 werden gemäß § 10 Diätengesetz 1968 nicht in die Anrechnung nach § 29 Abs. 3 und 4 einbezogen.</w:t>
      </w:r>
    </w:p>
    <w:p>
      <w:r>
        <w:t xml:space="preserve">(2) Versorgungsbezüge nach dem Diätengesetz 1968 werden neben einer Entschädigung oder einer Versorgung aus der Mitgliedschaft in einem Landtag (§ 29 Abs. 5 und 6) nur mit dem Teil in die Anrechnung einbezogen, der nicht auf eigenen Beiträgen beruht. Angerechnete Zeiten nach § 21 des Diätengesetzes 1968 gelten als Beitragszeiten.</w:t>
      </w:r>
    </w:p>
    <w:p>
      <w:r>
        <w:rPr>
          <w:color w:val="555555"/>
          <w:sz w:val="17"/>
        </w:rPr>
        <w:t xml:space="preserve">Zitiervorschlag: § 39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