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38a AbgG</w:t>
      </w:r>
    </w:p>
    <w:p>
      <w:r>
        <w:rPr>
          <w:color w:val="555555"/>
          <w:sz w:val="18"/>
        </w:rPr>
        <w:t xml:space="preserve">Abgeordnetengesetz</w:t>
      </w:r>
    </w:p>
    <w:p>
      <w:r>
        <w:rPr>
          <w:color w:val="555555"/>
          <w:sz w:val="18"/>
        </w:rPr>
        <w:t xml:space="preserve">Stand: 10.06.2019 (konsolidierte Textfassung, kein amtliches Inkrafttretensdatum)</w:t>
      </w:r>
    </w:p>
    <w:p>
      <w:r>
        <w:t xml:space="preserve">(1) Versorgungsempfänger nach den §§ 37 und 38 Abs. 1 erhalten anstelle ihrer bisherigen Versorgung auf Antrag Versorgung nach dem Fünften Abschnitt. Das gleiche gilt für ehemalige Mitglieder, die dem Bundestag vor Inkrafttreten dieses Gesetzes mindestens sechs Jahre angehört haben und ihre Hinterbliebenen. § 18 Abs. 1 letzter Satz gilt entsprechend.</w:t>
      </w:r>
    </w:p>
    <w:p>
      <w:r>
        <w:t xml:space="preserve">(2) Für ehemalige Mitglieder, die vor dem 1. April 1977 aus dem Bundestag ausgeschieden sind und danach wieder eintreten, gilt § 38 Abs. 4 entsprechend. Der Antrag ist innerhalb von sechs Monaten nach dem Wiedereintritt in den Deutschen Bundestag beim Präsidenten des Bundestages zu stellen. Das gleiche gilt für Hinterbliebene.</w:t>
      </w:r>
    </w:p>
    <w:p>
      <w:r>
        <w:rPr>
          <w:color w:val="555555"/>
          <w:sz w:val="17"/>
        </w:rPr>
        <w:t xml:space="preserve">Zitiervorschlag: § 38a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https://recht.nulegal.eu/gesetze/AbgG/38a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