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AbgG — Versorgung für Zeiten vor Inkrafttreten dieses Gesetzes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Mitglied des Bundestages, das in der Zeit vom 1. Januar 1968 bis zum Inkrafttreten dieses Gesetzes ausgeschieden ist, und seine Hinterbliebenen erhalten Versorgung nach dem Diätengesetz 1968.</w:t>
      </w:r>
    </w:p>
    <w:p>
      <w:r>
        <w:t xml:space="preserve">(2) Ein Mitglied des Bundestages, das dem Bundestag bereits vor Inkrafttreten dieses Gesetzes angehört hat und erst nach seinem Inkrafttreten aus dem Bundestag ausscheidet, erhält Altersentschädigung nach diesem Gesetz; dabei wird die Zeit der Mitgliedschaft vor Inkrafttreten dieses Gesetzes berücksichtigt.</w:t>
      </w:r>
    </w:p>
    <w:p>
      <w:r>
        <w:t xml:space="preserve">(3) Anstelle der Altersentschädigung nach Absatz 2 werden auf Antrag die nach § 4 des Diätengesetzes 1968 geleisteten eigenen Beiträge zur Alters- und Hinterbliebenenversorgung zinslos erstattet. In diesem Falle bleiben die Zeiten der Mitgliedschaft im Bundestag vor Inkrafttreten dieses Gesetzes bei der Festsetzung der Altersentschädigung nach diesem Gesetz unberücksichtigt. Im Falle des § 23 wird nur die halbe Versorgungsabfindung gezahlt.</w:t>
      </w:r>
    </w:p>
    <w:p>
      <w:r>
        <w:t xml:space="preserve">(4) Anstelle der Altersentschädigung nach Absatz 2 erhält ein Mitglied des Bundestages, das die Voraussetzungen des § 5 Abs. 1 und des § 7a Abs. 1 des Diätengesetzes 1968 erfüllt, für die Zeit der Mitgliedschaft im Bundestag vor Inkrafttreten dieses Gesetzes auf Antrag Ruhegeld nach dem Diätengesetz 1968; für die Zeit nach Inkrafttreten dieses Gesetzes wird Altersentschädigung nach diesem Gesetz mit der Maßgabe gewährt, daß für jedes Jahr der Mitgliedschaft 5 vom Hundert der Entschädigung nach § 11 Abs. 1 gezahlt werden. Die anrechenbaren Zeiten vor und nach Inkrafttreten dieses Gesetzes dürfen 16 Jahre nicht übersteigen. Das gleiche gilt für Hinterbliebene.</w:t>
      </w:r>
    </w:p>
    <w:p>
      <w:r>
        <w:t xml:space="preserve">(5) Der Antrag gemäß den Absätzen 3 und 4 ist innerhalb von sechs Monaten nach Inkrafttreten dieses Gesetzes beim Präsidenten des Bundestages zu stellen.</w:t>
      </w:r>
    </w:p>
    <w:p>
      <w:r>
        <w:rPr>
          <w:color w:val="555555"/>
          <w:sz w:val="17"/>
        </w:rPr>
        <w:t xml:space="preserve">Zitiervorschlag: § 38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