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AbgG — Ausführungsbestimmungen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20.11.2020 (konsolidierte Textfassung, kein amtliches Inkrafttretensdatum)</w:t>
      </w:r>
    </w:p>
    <w:p>
      <w:r>
        <w:t xml:space="preserve">(1) Soweit durch Bundesgesetz dazu ermächtigt, kann der Ältestenrat Ausführungsbestimmungen zur Rechtsstellung der Mitglieder des Bundestages erlassen, die vom Präsidenten veröffentlicht werden.</w:t>
      </w:r>
    </w:p>
    <w:p>
      <w:r>
        <w:t xml:space="preserve">(2) Der Ältestenrat kann allgemeine Verwaltungsvorschriften zu diesem Gesetz erlassen.</w:t>
      </w:r>
    </w:p>
    <w:p>
      <w:r>
        <w:t xml:space="preserve">(3) Der Präsident veröffentlicht den Betrag der Kostenpauschale.</w:t>
      </w:r>
    </w:p>
    <w:p>
      <w:r>
        <w:rPr>
          <w:color w:val="555555"/>
          <w:sz w:val="17"/>
        </w:rPr>
        <w:t xml:space="preserve">Zitiervorschlag: § 34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