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AbgG — Versorgungsausgleich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Anrechte auf Altersentschädigung werden intern geteilt.</w:t>
      </w:r>
    </w:p>
    <w:p>
      <w:r>
        <w:t xml:space="preserve">(2) Für die Durchführung gilt das Gesetz über die interne Teilung beamtenversorgungsrechtlicher Ansprüche von Bundesbeamtinnen und Bundesbeamten im Versorgungsausgleich (Bundesversorgungsteilungsgesetz) entsprechend.</w:t>
      </w:r>
    </w:p>
    <w:p>
      <w:r>
        <w:t xml:space="preserve">(3) Die Bewertung der Altersentschädigung erfolgt nach § 39 des Versorgungsausgleichsgesetzes (unmittelbare Bewertung).</w:t>
      </w:r>
    </w:p>
    <w:p>
      <w:r>
        <w:rPr>
          <w:color w:val="555555"/>
          <w:sz w:val="17"/>
        </w:rPr>
        <w:t xml:space="preserve">Zitiervorschlag: § 25a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