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AbgG — Gesundheitsschäden</w:t>
      </w:r>
    </w:p>
    <w:p>
      <w:r>
        <w:rPr>
          <w:color w:val="555555"/>
          <w:sz w:val="18"/>
        </w:rPr>
        <w:t xml:space="preserve">Abgeordnetengesetz</w:t>
      </w:r>
    </w:p>
    <w:p>
      <w:r>
        <w:rPr>
          <w:color w:val="555555"/>
          <w:sz w:val="18"/>
        </w:rPr>
        <w:t xml:space="preserve">Stand: 10.06.2019 (konsolidierte Textfassung, kein amtliches Inkrafttretensdatum)</w:t>
      </w:r>
    </w:p>
    <w:p>
      <w:r>
        <w:t xml:space="preserve">(1) Hat ein Mitglied während seiner Zugehörigkeit zum Bundestag ohne sein grobes Verschulden Gesundheitsschäden erlitten, die seine Arbeitskraft dauernd und so wesentlich beeinträchtigen, daß es sein Mandat und bei seinem Ausscheiden aus dem Bundestag die bei seiner Wahl zum Bundestag ausgeübte oder eine andere zumutbare Tätigkeit nicht mehr ausüben kann, so erhält es unabhängig von den in § 19 vorgesehenen Voraussetzungen auf Antrag vom Monat der Antragstellung an eine Altersentschädigung, deren Höhe sich nach § 20 richtet, mindestens jedoch 30 vom Hundert der Abgeordnetenentschädigung nach § 11 Abs. 1. Ist der Gesundheitsschaden infolge eines Unfalls eingetreten, so erhöht sich der Bemessungssatz nach § 20 um 20 vom Hundert bis höchstens zum Höchstbemessungssatz der Altersentschädigung.</w:t>
      </w:r>
    </w:p>
    <w:p>
      <w:r>
        <w:t xml:space="preserve">(2) Erleidet ein ehemaliges Mitglied des Bundestages, das unabhängig vom Lebensalter die Voraussetzung der Mitgliedschaftsdauer nach § 19 erfüllt, Gesundheitsschäden im Sinne des Absatzes 1, so erhält es Altersentschädigung, deren Höhe sich nach § 20 richtet.</w:t>
      </w:r>
    </w:p>
    <w:p>
      <w:r>
        <w:t xml:space="preserve">(3) Die Gesundheitsschädigung ist durch das Gutachten einer öffentlich-rechtlichen Krankenanstalt nachzuweisen. Das Gutachten wird ersetzt durch den Bescheid über Rente wegen Erwerbsminderung, Berufs- oder Erwerbsunfähigkeit oder durch den Bescheid über Dienstunfähigkeit im Sinne des Beamtenrechts.</w:t>
      </w:r>
    </w:p>
    <w:p>
      <w:r>
        <w:rPr>
          <w:color w:val="555555"/>
          <w:sz w:val="17"/>
        </w:rPr>
        <w:t xml:space="preserve">Zitiervorschlag: § 22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https://recht.nulegal.eu/gesetze/AbgG/22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