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AbgG — Freifahrtberechtigung und Erstattung von Fahrkosten</w:t>
      </w:r>
    </w:p>
    <w:p>
      <w:r>
        <w:rPr>
          <w:color w:val="555555"/>
          <w:sz w:val="18"/>
        </w:rPr>
        <w:t xml:space="preserve">Abgeordnetengesetz</w:t>
      </w:r>
    </w:p>
    <w:p>
      <w:r>
        <w:rPr>
          <w:color w:val="555555"/>
          <w:sz w:val="18"/>
        </w:rPr>
        <w:t xml:space="preserve">Stand: 10.06.2019 (konsolidierte Textfassung, kein amtliches Inkrafttretensdatum)</w:t>
      </w:r>
    </w:p>
    <w:p>
      <w:r>
        <w:t xml:space="preserve">(1) Ein Mitglied des Bundestages hat das Recht auf freie Benutzung aller Verkehrsmittel der Deutschen Bahn AG. Benutzt es in Ausübung des Mandats im Inland Flugzeuge, Schlafwagen oder sonstige schienengebundene Beförderungsmittel außerhalb des öffentlichen Personennahverkehrs, so werden die Kosten bis zur höchsten Klasse gegen Nachweis erstattet.</w:t>
      </w:r>
    </w:p>
    <w:p>
      <w:r>
        <w:t xml:space="preserve">(2) Für die Dauer der Berechtigung zur Freifahrt darf ein Mitglied des Bundestages die Erstattung von Fahrkosten der Deutschen Bahn AG für Reisen im Inland von anderer Seite nicht annehmen. Dies gilt auch für Teilstrecken im Inland anläßlich einer Auslandsreise und wenn Kosten für die Benutzung von Flugzeugen oder Schlafwagen nach Absatz 1 erstattet werden.</w:t>
      </w:r>
    </w:p>
    <w:p>
      <w:r>
        <w:rPr>
          <w:color w:val="555555"/>
          <w:sz w:val="17"/>
        </w:rPr>
        <w:t xml:space="preserve">Zitiervorschlag: § 16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