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AbfZustV (Bayern) — Besondere Zuständigkeiten</w:t>
      </w:r>
    </w:p>
    <w:p>
      <w:r>
        <w:rPr>
          <w:color w:val="555555"/>
          <w:sz w:val="18"/>
        </w:rPr>
        <w:t xml:space="preserve">Abfallzuständigkeitsverordnung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25 Abs. 1 des Bayerischen Abfallwirtschaftsgesetzes (BayAbfG) sowie für den Vollzug des Übereinkommens vom 9. September 1996 über die Sammlung, Abgabe und Annahme von Abfällen in der Rhein- und Binnenschifffahrt und des Binnenschifffahrt-Abfallübereinkommen-Ausführungsgesetzes bestehen die in der Anlage aufgeführten Zuständigkeiten, soweit nicht Bundesrecht eine andere Zuständigkeit bestimmt.</w:t>
      </w:r>
    </w:p>
    <w:p>
      <w:r>
        <w:rPr>
          <w:color w:val="555555"/>
          <w:sz w:val="17"/>
        </w:rPr>
        <w:t xml:space="preserve">Zitiervorschlag: § 1 AbfZustV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https://recht.nulegal.eu/gesetze/AbfZustV/1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