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AbfVerbrGebV — Anwendungsbereich</w:t>
      </w:r>
    </w:p>
    <w:p>
      <w:r>
        <w:rPr>
          <w:color w:val="555555"/>
          <w:sz w:val="18"/>
        </w:rPr>
        <w:t xml:space="preserve">Abfallverbringungsgebührenverordnung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gilt für individuell zurechenbare öffentliche Leistungen des Umweltbundesamtes als zuständige Behörde für die Entscheidung über die notifizierungsbedürftige Verbringung von Abfällen durch die Bundesrepublik Deutschland.</w:t>
      </w:r>
    </w:p>
    <w:p>
      <w:r>
        <w:rPr>
          <w:color w:val="555555"/>
          <w:sz w:val="17"/>
        </w:rPr>
        <w:t xml:space="preserve">Zitiervorschlag: § 1 AbfVerbrGebV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https://recht.nulegal.eu/gesetze/AbfVerbrGebV/1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