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AbfVerbrG 2007 — Gebührenschuldnerschaft</w:t>
      </w:r>
    </w:p>
    <w:p>
      <w:r>
        <w:rPr>
          <w:color w:val="555555"/>
          <w:sz w:val="18"/>
        </w:rPr>
        <w:t xml:space="preserve">Abfallverbringungsgesetz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Durch Besondere Gebührenverordnung des Bundesministeriums für Umwelt, Umwelt, Naturschutz und nukleare Sicherheit nach § 22 Absatz 4 des Bundesgebührengesetzes kann für den Bereich der Bundesverwaltung die Gebührenschuldnerschaft abweichend von den Vorschriften des Bundesgebührengesetzes geregelt werden.</w:t>
      </w:r>
    </w:p>
    <w:p>
      <w:r>
        <w:rPr>
          <w:color w:val="555555"/>
          <w:sz w:val="17"/>
        </w:rPr>
        <w:t xml:space="preserve">Zitiervorschlag: § 7 AbfVerbrG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https://recht.nulegal.eu/gesetze/AbfVerbrG%202007/7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