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AbfVerbrG 2007 — Verordnungsermächtigungen</w:t>
      </w:r>
    </w:p>
    <w:p>
      <w:r>
        <w:rPr>
          <w:color w:val="555555"/>
          <w:sz w:val="18"/>
        </w:rPr>
        <w:t xml:space="preserve">Abfallverbringungsgesetz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</w:t>
      </w:r>
    </w:p>
    <w:p>
      <w:pPr>
        <w:ind w:left="420"/>
      </w:pPr>
      <w:r>
        <w:t xml:space="preserve">1. mit Zustimmung des Bundesrates Vorschriften zu erlassen über grundsätzliche Vereinbarungen zur Durchführung der Verordnung (EG) Nr. 1013/2006, die bei Zusammenkünften der Anlaufstellen gemäß Artikel 57 der Verordnung (EG) Nr. 1013/2006 verabschiedet wurden,</w:t>
      </w:r>
    </w:p>
    <w:p>
      <w:pPr>
        <w:ind w:left="420"/>
      </w:pPr>
      <w:r>
        <w:t xml:space="preserve">2. mit Zustimmung des Bundesrates Abkommen nach Artikel 30 der Verordnung (EG) Nr. 1013/2006 in Kraft zu setzen, die sich im Rahmen der Ziele dieser Verordnung halten, und</w:t>
      </w:r>
    </w:p>
    <w:p>
      <w:pPr>
        <w:ind w:left="420"/>
      </w:pPr>
      <w:r>
        <w:t xml:space="preserve">3. ohne Zustimmung des Bundesrates nach Anhörung der beteiligten Kreise gemäß Artikel 36 Abs. 3 der Verordnung (EG) Nr. 1013/2006 Vorschriften zu erlassen über die Ausnahmen von dem Ausfuhrverbot in Bezug auf bestimmte in Anhang V aufgeführte Abfälle.</w:t>
      </w:r>
    </w:p>
    <w:p>
      <w:r>
        <w:rPr>
          <w:color w:val="555555"/>
          <w:sz w:val="17"/>
        </w:rPr>
        <w:t xml:space="preserve">Zitiervorschlag: § 6 AbfVerbrG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https://recht.nulegal.eu/gesetze/AbfVerbrG%202007/6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