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AbfVerbrG 2007 — Bestimmungen zum Verwaltungsverfahren</w:t>
      </w:r>
    </w:p>
    <w:p>
      <w:r>
        <w:rPr>
          <w:color w:val="555555"/>
          <w:sz w:val="18"/>
        </w:rPr>
        <w:t xml:space="preserve">Abfallverbringungsgesetz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Von den in diesem Gesetz und auf Grund dieses Gesetzes getroffenen Regelungen des Verwaltungsverfahrens kann durch Landesrecht nicht abgewichen werden.</w:t>
      </w:r>
    </w:p>
    <w:p>
      <w:r>
        <w:rPr>
          <w:color w:val="555555"/>
          <w:sz w:val="17"/>
        </w:rPr>
        <w:t xml:space="preserve">Zitiervorschlag: § 20 AbfVerbrG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https://recht.nulegal.eu/gesetze/AbfVerbrG%202007/20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