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18c AbfVerbrG 2007 — Verweisungen auf Vorschriften des Rechts der Europäischen Gemeinschaft oder der Europäischen Union</w:t>
      </w:r>
    </w:p>
    <w:p>
      <w:r>
        <w:rPr>
          <w:color w:val="555555"/>
          <w:sz w:val="18"/>
        </w:rPr>
        <w:t xml:space="preserve">Abfallverbringungsgesetz</w:t>
      </w:r>
    </w:p>
    <w:p>
      <w:r>
        <w:rPr>
          <w:color w:val="555555"/>
          <w:sz w:val="18"/>
        </w:rPr>
        <w:t xml:space="preserve">Stand: 01.07.2020 (konsolidierte Textfassung, kein amtliches Inkrafttretensdatum)</w:t>
      </w:r>
    </w:p>
    <w:p>
      <w:r>
        <w:t xml:space="preserve">(1) Verweisungen in § 18 Absatz 2, § 18a Absatz 1 und § 18b Absatz 1 dieses Gesetzes auf Vorschriften der Europäischen Gemeinschaft oder der Europäischen Union beziehen sich auf die in dem Anhang zu dieser Vorschrift angegebenen Fassungen.</w:t>
      </w:r>
    </w:p>
    <w:p>
      <w:r>
        <w:t xml:space="preserve">(2) Das Bundesministerium für Umwelt, Naturschutz und nukleare Sicherheit wird ermächtigt, durch Rechtsverordnung ohne Zustimmung des Bundesrates das Fundstellenverzeichnis in dem Anhang zu dieser Vorschrift zu ändern.</w:t>
      </w:r>
    </w:p>
    <w:p>
      <w:r>
        <w:rPr>
          <w:color w:val="555555"/>
          <w:sz w:val="17"/>
        </w:rPr>
        <w:t xml:space="preserve">Zitiervorschlag: § 18c AbfVerbrG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https://recht.nulegal.eu/gesetze/AbfVerbrG%202007/18c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