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AbfVerbrG 2007 — Zollstellen</w:t>
      </w:r>
    </w:p>
    <w:p>
      <w:r>
        <w:rPr>
          <w:color w:val="555555"/>
          <w:sz w:val="18"/>
        </w:rPr>
        <w:t xml:space="preserve">Abfallverbringungsgesetz</w:t>
      </w:r>
    </w:p>
    <w:p>
      <w:r>
        <w:rPr>
          <w:color w:val="555555"/>
          <w:sz w:val="18"/>
        </w:rPr>
        <w:t xml:space="preserve">Stand: 01.07.2020 (konsolidierte Textfassung, kein amtliches Inkrafttretensdatum)</w:t>
      </w:r>
    </w:p>
    <w:p>
      <w:r>
        <w:t xml:space="preserve">Das Bundesministerium für Umwelt, Naturschutz und nukleare Sicherheit gibt im Einvernehmen mit der Generalzolldirektion gemäß Artikel 55 der Verordnung (EG) Nr. 1013/2006 die Zollstellen für die Bundesrepublik Deutschland bekannt, über die Abfälle beim Eingang oder beim Verlassen der Europäischen Gemeinschaft verbracht werden dürfen.</w:t>
      </w:r>
    </w:p>
    <w:p>
      <w:r>
        <w:rPr>
          <w:color w:val="555555"/>
          <w:sz w:val="17"/>
        </w:rPr>
        <w:t xml:space="preserve">Zitiervorschlag: § 17 AbfVerbrG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https://recht.nulegal.eu/gesetze/AbfVerbrG%202007/17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