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AbfVerbrBußV</w:t>
      </w:r>
    </w:p>
    <w:p>
      <w:r>
        <w:rPr>
          <w:color w:val="555555"/>
          <w:sz w:val="18"/>
        </w:rPr>
        <w:t xml:space="preserve">Abfallverbringungsbußgeldverordnung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18 Abs. 5 des Abfallverbringungsgesetzes vom 19. Juli 2007 (BGBl. I S. 1462) verordnet das Bundesministerium für Umwelt, Naturschutz und Reaktorsicherheit:</w:t>
      </w:r>
    </w:p>
    <w:p>
      <w:r>
        <w:rPr>
          <w:color w:val="555555"/>
          <w:sz w:val="17"/>
        </w:rPr>
        <w:t xml:space="preserve">Zitiervorschlag: Eingangsformel AbfVerbrBußV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https://recht.nulegal.eu/gesetze/AbfVerbrBu%C3%9FV/eingangsformel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AbfVerbrBußV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