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AbfVAbwV (Brandenburg) — Vorhandene Einleitungen</w:t>
      </w:r>
    </w:p>
    <w:p>
      <w:r>
        <w:rPr>
          <w:color w:val="555555"/>
          <w:sz w:val="18"/>
        </w:rPr>
        <w:t xml:space="preserve">Abfallverbrennungsabwasserverordnung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vorhandene Einleitungen im Sinne des § 2 gelten die Anforderungen dieser Verordnung ab dem 28. Dezember 2005.</w:t>
      </w:r>
    </w:p>
    <w:p>
      <w:r>
        <w:rPr>
          <w:color w:val="555555"/>
          <w:sz w:val="17"/>
        </w:rPr>
        <w:t xml:space="preserve">Zitiervorschlag: § 7 AbfVAbwV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https://recht.nulegal.eu/gesetze/AbfVAbwV/7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