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AbfVAbwV (Brandenburg) — Berichtspflichten, Information der Öffentlichkeit</w:t>
      </w:r>
    </w:p>
    <w:p>
      <w:r>
        <w:rPr>
          <w:color w:val="555555"/>
          <w:sz w:val="18"/>
        </w:rPr>
        <w:t xml:space="preserve">Abfallverbrennungsabwasserverordnung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Für Einleitungen von Abwasser im Sinne des § 2, das aus Anlagen mit einer Nennkapazität von zwei Tonnen pro Stunde oder mehr stammt, ist der Öffentlichkeit ungeachtet des Artikels 15 Abs. 2 der Richtlinie 96/61/EG des Rates vom 24. September 1996 über die integrierte Vermeidung und Verminderung der Umweltverschmutzung (ABl. EG Nr. L 257 S. 26) ein jährlicher Bericht über die Überwachung der Einleitung zugänglich zu machen. In dem Bericht ist zumindest Rechenschaft über die Emissionen in das Gewässer oder die öffentliche Abwasseranlage abzulegen. Der Einleiter hat den Bericht der zuständigen Behörde vorzulegen.</w:t>
      </w:r>
    </w:p>
    <w:p>
      <w:r>
        <w:rPr>
          <w:color w:val="555555"/>
          <w:sz w:val="17"/>
        </w:rPr>
        <w:t xml:space="preserve">Zitiervorschlag: § 6 AbfVAbwV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https://recht.nulegal.eu/gesetze/AbfVAbwV/6</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