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AbfVAbwV (Brandenburg) — Berechnung der Frachten bei Vermischung</w:t>
      </w:r>
    </w:p>
    <w:p>
      <w:r>
        <w:rPr>
          <w:color w:val="555555"/>
          <w:sz w:val="18"/>
        </w:rPr>
        <w:t xml:space="preserve">Abfallverbrennungsabwasserverordnung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Im Falle der Vermischung von Abwasser im Sinne des § 2 mit Abwasser aus anderen Herkunftsbereichen hat der jeweilige Betreiber die Frachten für die in Anhang 33 Teil D Abs. 1 und 2 der Abwasserverordnung genannten Stoffe als Grundlage für die behördliche Festlegung der Anforderungen zu berechnen. Weitergehende Anforderungen, die zur Erreichung von Bewirtschaftungszielen nach den §§ 27 und 47 des Wasserhaushaltsgesetzes erforderlich sind, bleiben unberührt.</w:t>
      </w:r>
    </w:p>
    <w:p>
      <w:r>
        <w:rPr>
          <w:color w:val="555555"/>
          <w:sz w:val="17"/>
        </w:rPr>
        <w:t xml:space="preserve">Zitiervorschlag: § 3 AbfVAbwV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https://recht.nulegal.eu/gesetze/AbfVAbwV/3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