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AbfVAbwV (Brandenburg) — Anwendungsbereich</w:t>
      </w:r>
    </w:p>
    <w:p>
      <w:r>
        <w:rPr>
          <w:color w:val="555555"/>
          <w:sz w:val="18"/>
        </w:rPr>
        <w:t xml:space="preserve">Abfallverbrennungsabwasserverordnung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gilt für das Einleiten von Abwasser im Sinne des Anhangs 33 Teil A der Abwasserverordnung in Gewässer und öffentliche Abwasseranlagen.</w:t>
      </w:r>
    </w:p>
    <w:p>
      <w:r>
        <w:rPr>
          <w:color w:val="555555"/>
          <w:sz w:val="17"/>
        </w:rPr>
        <w:t xml:space="preserve">Zitiervorschlag: § 2 AbfVAbwV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https://recht.nulegal.eu/gesetze/AbfVAbwV/2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