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AbfVAbwV (Brandenburg) — Zweck</w:t>
      </w:r>
    </w:p>
    <w:p>
      <w:r>
        <w:rPr>
          <w:color w:val="555555"/>
          <w:sz w:val="18"/>
        </w:rPr>
        <w:t xml:space="preserve">Abfallverbrennungsabwasserverordnung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dient der Umsetzung von wasserrechtlichen Vorschriften der Richtlinie 2000/76/EG des Europäischen Parlaments und des Rates vom 4. Dezember 2000 über die Verbrennung von Abfällen (ABl. EG Nr. L 332 S. 91), soweit die Abwasserverordnung nicht die notwendigen Regelungen enthält.</w:t>
      </w:r>
    </w:p>
    <w:p>
      <w:r>
        <w:rPr>
          <w:color w:val="555555"/>
          <w:sz w:val="17"/>
        </w:rPr>
        <w:t xml:space="preserve">Zitiervorschlag: § 1 AbfVAbwV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https://recht.nulegal.eu/gesetze/AbfVAbwV/1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