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AbfPV (Bayern) — Abfallwirtschaftsplan</w:t>
      </w:r>
    </w:p>
    <w:p>
      <w:r>
        <w:rPr>
          <w:color w:val="555555"/>
          <w:sz w:val="18"/>
        </w:rPr>
        <w:t xml:space="preserve">Verordnung über den Abfallwirtschaftsplan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Abfallwirtschaftsplan Bayern richtet sich gemäß der Anlage , die Bestandteil dieser Verordnung ist. Die Festlegungen des Abfallwirtschaftsplans in</w:t>
      </w:r>
    </w:p>
    <w:p>
      <w:r>
        <w:t xml:space="preserve">1. Abschnitt II Nrn. 4.4, 4.5 und 4.6 über die grundsätzlichen Verbote für entsorgungspflichtige Körperschaften, folgende Abfälle in andere Länder oder in andere Staaten zu verbringen,</w:t>
      </w:r>
    </w:p>
    <w:p>
      <w:r>
        <w:t xml:space="preserve">a) Abfälle zur Beseitigung sowie</w:t>
      </w:r>
    </w:p>
    <w:p>
      <w:r>
        <w:t xml:space="preserve">b) gemischte Abfälle zur Verwertung aus privaten Haushalten einschließlich solcher, die dabei auch aus anderen Herkunftsbereichen eingesammelt worden sind,</w:t>
      </w:r>
    </w:p>
    <w:p>
      <w:r>
        <w:t xml:space="preserve">2. Abschnitt IV Nr. 3 über die Zuständigkeit der Trägerin der Sonderabfallentsorgung für gesondert zu entsorgende Abfälle zur Beseitigung und</w:t>
      </w:r>
    </w:p>
    <w:p>
      <w:r>
        <w:t xml:space="preserve">3. Abschnitt IV Nr. 5 über die Überlassungspflicht von gesondert zu entsorgenden Abfällen an die Trägerin der Sonderabfallentsorgung oder bei Körperteilen, Organabfällen sowie infektiösen Abfällen auch an die AVA Abfallverwertung Augsburg GmbH (Krankenhausabfallverbrennungsanlage)</w:t>
      </w:r>
    </w:p>
    <w:p>
      <w:r>
        <w:t xml:space="preserve">sind verbindlich.</w:t>
      </w:r>
    </w:p>
    <w:p>
      <w:r>
        <w:rPr>
          <w:color w:val="555555"/>
          <w:sz w:val="17"/>
        </w:rPr>
        <w:t xml:space="preserve">Zitiervorschlag: § 1 AbfPV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https://recht.nulegal.eu/gesetze/AbfPV/1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