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21 AbfKlärV 2017 — Pflichten des Trägers der Qualitätssicherung</w:t>
      </w:r>
    </w:p>
    <w:p>
      <w:r>
        <w:rPr>
          <w:color w:val="555555"/>
          <w:sz w:val="18"/>
        </w:rPr>
        <w:t xml:space="preserve">Klärschlammverordnung</w:t>
      </w:r>
    </w:p>
    <w:p>
      <w:r>
        <w:rPr>
          <w:color w:val="555555"/>
          <w:sz w:val="18"/>
        </w:rPr>
        <w:t xml:space="preserve">Stand: 10.06.2019 (konsolidierte Textfassung, kein amtliches Inkrafttretensdatum)</w:t>
      </w:r>
    </w:p>
    <w:p>
      <w:r>
        <w:t xml:space="preserve">(1) Der Träger der Qualitätssicherung hat sicherzustellen, dass jeder Qualitätszeichennehmer ein individuelles Konzept zur Minderung von Schadstoffeinträgen im Vorfeld der Klärschlammentstehung in einer Abwasserbehandlungsanlage und zur Minderung von hygienischen Risiken des Klärschlamms erstellt. In dem Konzept ist insbesondere festzulegen, dass der Qualitätszeichennehmer</w:t>
      </w:r>
    </w:p>
    <w:p>
      <w:pPr>
        <w:ind w:left="420"/>
      </w:pPr>
      <w:r>
        <w:t xml:space="preserve">1. das Indirekteinleiterkataster und die Indirekteinleiterüberwachung der Abwasserbehandlungsanlage zu bewerten und im Bedarfsfall dem Klärschlammerzeuger Maßnahmen zur Optimierung vorzugeben hat,</w:t>
      </w:r>
    </w:p>
    <w:p>
      <w:pPr>
        <w:ind w:left="420"/>
      </w:pPr>
      <w:r>
        <w:t xml:space="preserve">2. den Klärschlammerzeuger zur prüffähigen Dokumentation der zur Abwasserbehandlung und Klärschlammbehandlung eingesetzten Zuschlagstoffe und zur prüffähigen Dokumentation der Direktanlieferung anderer für die Mitbehandlung vorgesehener Stoffe zu verpflichten hat,</w:t>
      </w:r>
    </w:p>
    <w:p>
      <w:pPr>
        <w:ind w:left="420"/>
      </w:pPr>
      <w:r>
        <w:t xml:space="preserve">3. eine Bewertung des Einsatzes der zur Abwasserbehandlung eingesetzten Zuschlagstoffe und der für die Mitbehandlung vorgesehenen Stoffe hinsichtlich deren Schadstoffgehalte durchzuführen und im Bedarfsfall dem Klärschlammerzeuger die Verwendung besser geeigneter Zuschlagstoffe vorzugeben hat,</w:t>
      </w:r>
    </w:p>
    <w:p>
      <w:pPr>
        <w:ind w:left="420"/>
      </w:pPr>
      <w:r>
        <w:t xml:space="preserve">4. den Klärschlammerzeuger zur Einrichtung und Anwendung eines Kontroll- und Abweismechanismus für Direktanlieferungen anderer für die Mitbehandlung vorgesehener Stoffe nach Nummer 2 zu verpflichten hat,</w:t>
      </w:r>
    </w:p>
    <w:p>
      <w:pPr>
        <w:ind w:left="420"/>
      </w:pPr>
      <w:r>
        <w:t xml:space="preserve">5. den Klärschlammerzeuger zur Unterrichtung der zuständigen Behörde über absehbare Veränderungen der Abwasserzusammensetzung im Einzugsgebiet der Abwasserbehandlungsanlage zu verpflichten hat,</w:t>
      </w:r>
    </w:p>
    <w:p>
      <w:pPr>
        <w:ind w:left="420"/>
      </w:pPr>
      <w:r>
        <w:t xml:space="preserve">6. den Gemischhersteller und den Komposthersteller dazu zu verpflichten hat, als Ausgangsstoff zur Gemisch- und Kompostherstellung einen Klärschlamm einzusetzen, der einer Qualitätssicherung im Sinne dieser Verordnung unterzogen wurde, und</w:t>
      </w:r>
    </w:p>
    <w:p>
      <w:pPr>
        <w:ind w:left="420"/>
      </w:pPr>
      <w:r>
        <w:t xml:space="preserve">7. den Gemischhersteller und den Komposthersteller dazu zu verpflichten hat, die zur Gemisch- und Kompostherstellung vorgesehenen Materialien nach Anlage 2 Tabelle 7 und 8 der Düngemittelverordnung prüffähig zu dokumentieren.</w:t>
      </w:r>
    </w:p>
    <w:p>
      <w:r>
        <w:t xml:space="preserve">Der Träger der Qualitätssicherung hat die Umsetzung des Konzepts durch den Klärschlammerzeuger, den Gemischhersteller und den Komposthersteller zu überwachen. Er hat einen Sachverständigen nach § 22 damit zu beauftragen, die Erfüllung der Anforderungen nach Satz 2 Nummer 1 und 3 zu überprüfen.</w:t>
      </w:r>
    </w:p>
    <w:p>
      <w:r>
        <w:t xml:space="preserve">(2) Der Träger der Qualitätssicherung hat zur fortlaufenden Überwachung des Qualitätszeichennehmers im Sinne von § 12 Absatz 3 Nummer 3 des Kreislaufwirtschaftsgesetzes einen für jeden Qualitätszeichennehmer individuellen Plan zur Untersuchung der Inhaltsstoffe des Klärschlamms, des Klärschlammgemischs und des Klärschlammkomposts des Qualitätszeichennehmers zu erstellen und den Qualitätszeichennehmer zur Ausführung des Untersuchungsplans nach § 32 zu verpflichten.</w:t>
      </w:r>
    </w:p>
    <w:p>
      <w:r>
        <w:t xml:space="preserve">(3) Der Träger der Qualitätssicherung hat den fachlichen Rahmen zur fachgerechten Anwendung des Klärschlamms, Klärschlammgemischs oder Klärschlammkomposts festzulegen. Hierbei werden besondere Vorgaben zum Gewässerschutz, zum Bodenschutz, zur Reduzierung seuchenhygienischer und phytohygienischer Risiken sowie zur Bemessung der Aufwandmenge nach guter fachlicher Praxis bestimmt. Der Qualitätszeichennehmer hat die Umsetzung dieser Vorgaben sicherzustellen. Der Qualitätszeichennehmer hat vor Auf- oder Einbringung des Klärschlamms, des Klärschlammgemischs oder des Klärschlammkomposts die Anwendungsempfehlungen nach Satz 1 zu dokumentieren und eine Kopie der Empfehlungen dem Klärschlammnutzer zu übergeben.</w:t>
      </w:r>
    </w:p>
    <w:p>
      <w:r>
        <w:t xml:space="preserve">(4) Der Träger der Qualitätssicherung hat die Mindestanforderungen nach den §§ 20 bis 31 in einer Satzung, einem Überwachungsvertrag oder einer sonstigen für den Qualitätszeichennehmer verbindlichen Regelung festzulegen.</w:t>
      </w:r>
    </w:p>
    <w:p>
      <w:r>
        <w:t xml:space="preserve">(5) Der Träger der Qualitätssicherung hat der zuständigen Behörde innerhalb von vier Wochen Folgendes anzuzeigen:</w:t>
      </w:r>
    </w:p>
    <w:p>
      <w:pPr>
        <w:ind w:left="420"/>
      </w:pPr>
      <w:r>
        <w:t xml:space="preserve">1. die Bestellung von Sachverständigen, ihre Tätigkeitsbereiche, die Änderung ihrer Tätigkeitsbereiche sowie das Erlöschen der Bestellung der Sachverständigen,</w:t>
      </w:r>
    </w:p>
    <w:p>
      <w:pPr>
        <w:ind w:left="420"/>
      </w:pPr>
      <w:r>
        <w:t xml:space="preserve">2. Änderungen der Organisationsstruktur des Trägers der Qualitätssicherung und</w:t>
      </w:r>
    </w:p>
    <w:p>
      <w:pPr>
        <w:ind w:left="420"/>
      </w:pPr>
      <w:r>
        <w:t xml:space="preserve">3. die Auflösung des Trägers der Qualitätssicherung.</w:t>
      </w:r>
    </w:p>
    <w:p>
      <w:r>
        <w:t xml:space="preserve">(6) Der Träger der Qualitätssicherung hat ein aktuelles Verzeichnis der Qualitätszeichennehmer zu führen, die zur Führung seines Qualitätszeichens berechtigt sind. Das Verzeichnis hat der Träger der Qualitätssicherung in geeigneter Weise öffentlich zugänglich zu machen.</w:t>
      </w:r>
    </w:p>
    <w:p>
      <w:r>
        <w:rPr>
          <w:color w:val="555555"/>
          <w:sz w:val="17"/>
        </w:rPr>
        <w:t xml:space="preserve">Zitiervorschlag: § 21 AbfKlärV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https://recht.nulegal.eu/gesetze/AbfKl%C3%A4rV%202017/21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21 AbfKlärV 2017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