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AbfBodZV (Brandenburg) — Übergangsregelung</w:t>
      </w:r>
    </w:p>
    <w:p>
      <w:r>
        <w:rPr>
          <w:color w:val="555555"/>
          <w:sz w:val="18"/>
        </w:rPr>
        <w:t xml:space="preserve">Abfall- und Bodenschutz-Zuständigkeitsverordnung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Zum Zeitpunkt des In-Kraft-Tretens dieser Verordnung noch nicht abgeschlossene Verwaltungsverfahren werden von der Behörde, von der sie begonnen worden sind, zu Ende geführt. Dies gilt nicht für Verwaltungsverfahren nach den Nummern 1.20, 1.23.1 bis 1.23.3 und Nummer 1.23.7 der Anlage, sofern nicht die in Anhang 2 aufgeführten Abfalllager und Ablagerungen betroffen sind.</w:t>
      </w:r>
    </w:p>
    <w:p>
      <w:r>
        <w:rPr>
          <w:color w:val="555555"/>
          <w:sz w:val="17"/>
        </w:rPr>
        <w:t xml:space="preserve">Zitiervorschlag: § 3 AbfBodZV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https://recht.nulegal.eu/gesetze/AbfBodZV/3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