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AbfBodZV (Brandenburg) — Befugnisse der Sonderabfallgesellschaft Brandenburg/Berlin mbH</w:t>
      </w:r>
    </w:p>
    <w:p>
      <w:r>
        <w:rPr>
          <w:color w:val="555555"/>
          <w:sz w:val="18"/>
        </w:rPr>
        <w:t xml:space="preserve">Abfall- und Bodenschutz-Zuständigkeitsverordnung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mit dieser Verordnung der Sonderabfallgesellschaft Brandenburg/Berlin mbH Aufgaben nach den §§ 14 und 15 des Brandenburgischen Abfall- und Bodenschutzgesetzes übertragen werden, gelten die Überwachungs- und Anordnungsbefugnisse des Abfallrechts (§§ 47 und 62 des Kreislaufwirtschaftsgesetzes, §§ 23 und 24 des Brandenburgischen Abfall- und Bodenschutzgesetzes) sinngemäß.</w:t>
      </w:r>
    </w:p>
    <w:p>
      <w:r>
        <w:rPr>
          <w:color w:val="555555"/>
          <w:sz w:val="17"/>
        </w:rPr>
        <w:t xml:space="preserve">Zitiervorschlag: § 2b AbfBodZV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https://recht.nulegal.eu/gesetze/AbfBodZV/2b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