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AbfAEV — Übergangsvorschriften</w:t>
      </w:r>
    </w:p>
    <w:p>
      <w:r>
        <w:rPr>
          <w:color w:val="555555"/>
          <w:sz w:val="18"/>
        </w:rPr>
        <w:t xml:space="preserve">Anzeige- und Erlaubnisverordnung</w:t>
      </w:r>
    </w:p>
    <w:p>
      <w:r>
        <w:rPr>
          <w:color w:val="555555"/>
          <w:sz w:val="18"/>
        </w:rPr>
        <w:t xml:space="preserve">Stand: 10.06.2019 (konsolidierte Textfassung, kein amtliches Inkrafttretensdatum)</w:t>
      </w:r>
    </w:p>
    <w:p>
      <w:r>
        <w:t xml:space="preserve">(1) Am 1. Juni 2014 bereits begonnene Verfahren zur Erstattung einer Anzeige nach § 53 Absatz 1 Satz 1 des Kreislaufwirtschaftsgesetzes oder auf Erteilung einer Erlaubnis nach § 54 Absatz 1 Satz 1 des Kreislaufwirtschaftsgesetzes sind nach den Vorschriften dieser Verordnung zu Ende zu führen. Die Verfahren können ohne Verwendung der in den Anlagen 2 und 3 enthaltenen Vordrucke durchgeführt werden.</w:t>
      </w:r>
    </w:p>
    <w:p>
      <w:r>
        <w:t xml:space="preserve">(2) Sammler, Beförderer, Händler und Makler von Abfällen, die gewerbsmäßig tätig sind, und bei denen der Inhaber, soweit er für die Leitung des Betriebes verantwortlich ist, oder die für die Leitung und Beaufsichtigung des Betriebes verantwortlichen Personen zum 1. Juni 2014 die Anforderungen an die Fachkunde nach § 4 Absatz 1 bis 3 nicht erfüllen, haben sicherzustellen, dass die betroffenen Personen bis zum 31. Dezember 2014 an einem oder mehreren von der zuständigen Behörde anerkannten Lehrgängen, in denen Kenntnisse entsprechend der Anlage 1 vermittelt werden, teilnehmen und die Teilnahme der zuständigen Behörde nachzuweisen.</w:t>
      </w:r>
    </w:p>
    <w:p>
      <w:r>
        <w:t xml:space="preserve">(3) Bis zum 30. September 2014 gestellte Anträge von Händlern und Maklern von gefährlichen Abfällen auf Erteilung einer Erlaubnis nach § 54 Absatz 1 Satz 1 des Kreislaufwirtschaftsgesetzes, darf die zuständige Behörde nicht deshalb ablehnen, weil der Inhaber, soweit er für die Leitung des Betriebes verantwortlich ist, oder die für die Leitung und Beaufsichtigung des Betriebes verantwortlichen Personen nicht an den nach § 5 Absatz 1 Satz 1 Nummer 2 erforderlichen Lehrgängen teilgenommen haben. Die zuständige Behörde hat die Erlaubnis in diesem Fall unter der auflösenden Bedingung zu erteilen, dass die betroffenen Personen bis zu einem von der Behörde festgelegten Zeitpunkt an den entsprechenden Lehrgängen teilgenommen haben müssen.</w:t>
      </w:r>
    </w:p>
    <w:p>
      <w:r>
        <w:t xml:space="preserve">(4) Bis zum 31. Mai 2014 besuchte Lehrgänge nach § 3 Absatz 1 Satz 2 Nummer 2 der Beförderungserlaubnisverordnung vom 10. September 1996 (BGBl. I S. 1411; 1997 I S. 2861) in der bis zum 1. Juni 2014 geltenden Fassung kann die Behörde als Lehrgänge im Sinne des § 4 Absatz 3 Satz 1 oder des § 5 Absatz 1 Satz 1 Nummer 2 gelten lassen.</w:t>
      </w:r>
    </w:p>
    <w:p>
      <w:r>
        <w:t xml:space="preserve">(5) Die behördliche Anerkennung eines Lehrgangs nach § 3 Absatz 1 Satz 2 Nummer 2 der Beförderungserlaubnisverordnung vom 10. September 1996 (BGBl. I S. 1411; 1997 I S. 2861) in der bis zum 1. Juni 2014 geltenden Fassung gilt als Anerkennung eines Lehrgangs nach § 5 Absatz 1 Satz 1 Nummer 2 fort, sofern der Lehrgangsträger die Lehrgangsinhalte an die in der Anlage 1 genannten Inhalte anpasst und bis zum 30. September 2014 der zuständigen Behörde das überarbeitete Lehrgangsprogramm vorlegt.</w:t>
      </w:r>
    </w:p>
    <w:p>
      <w:r>
        <w:rPr>
          <w:color w:val="555555"/>
          <w:sz w:val="17"/>
        </w:rPr>
        <w:t xml:space="preserve">Zitiervorschlag: § 16 AbfAEV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https://recht.nulegal.eu/gesetze/AbfAEV/16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