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AbfAEV — Ordnungswidrigkeiten</w:t>
      </w:r>
    </w:p>
    <w:p>
      <w:r>
        <w:rPr>
          <w:color w:val="555555"/>
          <w:sz w:val="18"/>
        </w:rPr>
        <w:t xml:space="preserve">Anzeige- und Erlaubnisverordnung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Ordnungswidrig im Sinne des § 69 Absatz 2 Nummer 15 des Kreislaufwirtschaftsgesetzes handelt, wer vorsätzlich oder fahrlässig</w:t>
      </w:r>
    </w:p>
    <w:p>
      <w:pPr>
        <w:ind w:left="420"/>
      </w:pPr>
      <w:r>
        <w:t xml:space="preserve">1. einer vollziehbaren Anordnung nach § 4 Absatz 5 zuwiderhandelt oder</w:t>
      </w:r>
    </w:p>
    <w:p>
      <w:pPr>
        <w:ind w:left="420"/>
      </w:pPr>
      <w:r>
        <w:t xml:space="preserve">2. entgegen § 13 Absatz 1 Satz 1, 3, 4 oder 5 oder Absatz 2 eine dort genannte Kopie oder einen dort genannten Ausdruck nicht mitführt.</w:t>
      </w:r>
    </w:p>
    <w:p>
      <w:r>
        <w:rPr>
          <w:color w:val="555555"/>
          <w:sz w:val="17"/>
        </w:rPr>
        <w:t xml:space="preserve">Zitiervorschlag: § 15 AbfAEV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https://recht.nulegal.eu/gesetze/AbfAEV/15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