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14 AbfAEV — Behördenregister</w:t>
      </w:r>
    </w:p>
    <w:p>
      <w:r>
        <w:rPr>
          <w:color w:val="555555"/>
          <w:sz w:val="18"/>
        </w:rPr>
        <w:t xml:space="preserve">Anzeige- und Erlaubnisverordnung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Die Länder führen ein bundesweit einheitliches elektronisches Register über die nach § 53 Absatz 1 Satz 1 des Kreislaufwirtschaftsgesetzes angezeigten Tätigkeiten und die nach § 54 Absatz 1 Satz 1 des Kreislaufwirtschaftsgesetzes erteilten Erlaubnisse für Sammler, Beförderer, Händler und Makler von Abfällen. Das Nähere über die Einrichtung und Führung des Registers regeln die Länder durch Vereinbarung.</w:t>
      </w:r>
    </w:p>
    <w:p>
      <w:r>
        <w:t xml:space="preserve">(2) Die Länder sind befugt, Daten nach Absatz 1 zu erheben, zu speichern und zu nutzen, soweit dies zur Registerführung erforderlich ist. Im Register gespeicherte Daten sind unverzüglich zu löschen, wenn sie zur Registerführung nicht mehr erforderlich sind.</w:t>
      </w:r>
    </w:p>
    <w:p>
      <w:r>
        <w:rPr>
          <w:color w:val="555555"/>
          <w:sz w:val="17"/>
        </w:rPr>
        <w:t xml:space="preserve">Zitiervorschlag: § 14 AbfAEV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https://recht.nulegal.eu/gesetze/AbfAEV/14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