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AbfAEV — Ausnahmen von der Kennzeichnungspflicht</w:t>
      </w:r>
    </w:p>
    <w:p>
      <w:r>
        <w:rPr>
          <w:color w:val="555555"/>
          <w:sz w:val="18"/>
        </w:rPr>
        <w:t xml:space="preserve">Anzeige- und 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Sammler und Beförderer von der Pflicht nach § 55 Absatz 1 des Kreislaufwirtschaftsgesetzes und § 10 Absatz 1 des Abfallverbringungsgesetzes, Fahrzeuge vor Antritt der Fahrt mit Warntafeln zu versehen, ganz oder teilweise freistellen, wenn</w:t>
      </w:r>
    </w:p>
    <w:p>
      <w:pPr>
        <w:ind w:left="420"/>
      </w:pPr>
      <w:r>
        <w:t xml:space="preserve">1. eine Anbringung der Warntafeln technisch nicht möglich ist oder</w:t>
      </w:r>
    </w:p>
    <w:p>
      <w:pPr>
        <w:ind w:left="420"/>
      </w:pPr>
      <w:r>
        <w:t xml:space="preserve">2. eine Kennzeichnung aus Gründen des Wohls der Allgemeinheit nicht erforderlich ist.</w:t>
      </w:r>
    </w:p>
    <w:p>
      <w:r>
        <w:t xml:space="preserve">Die zuständige Behörde kann eine andere geeignete Kennzeichnung der Fahrzeuge verlangen.</w:t>
      </w:r>
    </w:p>
    <w:p>
      <w:r>
        <w:rPr>
          <w:color w:val="555555"/>
          <w:sz w:val="17"/>
        </w:rPr>
        <w:t xml:space="preserve">Zitiervorschlag: § 13a AbfAEV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https://recht.nulegal.eu/gesetze/AbfAEV/13a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