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AbfAEV — Ausnahmen von der Erlaubnispflicht</w:t>
      </w:r>
    </w:p>
    <w:p>
      <w:r>
        <w:rPr>
          <w:color w:val="555555"/>
          <w:sz w:val="18"/>
        </w:rPr>
        <w:t xml:space="preserve">Anzeige- und Erlaubnisverordnung</w:t>
      </w:r>
    </w:p>
    <w:p>
      <w:r>
        <w:rPr>
          <w:color w:val="555555"/>
          <w:sz w:val="18"/>
        </w:rPr>
        <w:t xml:space="preserve">Stand: 12.08.2026 (konsolidierte Textfassung, kein amtliches Inkrafttretensdatum)</w:t>
      </w:r>
    </w:p>
    <w:p>
      <w:r>
        <w:t xml:space="preserve">(1) Ungeachtet des § 54 Absatz 3 des Kreislaufwirtschaftsgesetzes, des § 2 Absatz 1 des Verpackungsrecht-Durchführungsgesetzes, des § 2 Absatz 3 Satz 1 des Elektro- und Elektronikgerätegesetzes und des § 1 Absatz 3 Satz 1 des Batteriegesetzes sind von der Erlaubnispflicht nach § 54 Absatz 1 Satz 1 des Kreislaufwirtschaftsgesetzes auch ausgenommen:</w:t>
      </w:r>
    </w:p>
    <w:p>
      <w:pPr>
        <w:ind w:left="420"/>
      </w:pPr>
      <w:r>
        <w:t xml:space="preserve">1. Sammler, Beförderer, Händler und Makler von gefährlichen Abfällen, die im Rahmen wirtschaftlicher Unternehmen tätig sind,</w:t>
      </w:r>
    </w:p>
    <w:p>
      <w:pPr>
        <w:ind w:left="420"/>
      </w:pPr>
      <w:r>
        <w:t xml:space="preserve">2. Sammler, Beförderer, Händler und Makler von gefährlichen Abfällen, die solche Abfälle sammeln, befördern, mit diesen handeln oder diese makeln, die von einem Hersteller oder Vertreiber freiwillig oder auf Grund einer Rechtsverordnung zurückgenommen werden,</w:t>
      </w:r>
    </w:p>
    <w:p>
      <w:pPr>
        <w:ind w:left="420"/>
      </w:pPr>
      <w:r>
        <w:t xml:space="preserve">3. Sammler, Beförderer, Händler und Makler von gefährlichen Abfällen, die Altfahrzeuge im Rahmen ihrer Überlassung nach § 4 Absatz 1 bis 3 der Altfahrzeug-Verordnung in der Fassung der Bekanntmachung vom 21. Juni 2002 (BGBl. I S. 2214), die zuletzt durch Artikel 3 der Verordnung vom 5. Dezember 2013 (BGBl. I S. 4043) geändert worden ist, in der jeweils geltenden Fassung, sammeln, befördern, mit diesen handeln oder diese makeln,</w:t>
      </w:r>
    </w:p>
    <w:p>
      <w:pPr>
        <w:ind w:left="420"/>
      </w:pPr>
      <w:r>
        <w:t xml:space="preserve">4. Sammler, Beförderer, Händler und Makler von gefährlichen Abfällen, die einen EMAS-Standort betreiben und bei denen der EMAS-registrierte Tätigkeitsbereich in Klasse 38.12 (Sammlung gefährlicher Abfälle), Klasse 38.22 (Behandlung und Beseitigung gefährlicher Abfälle) oder Klasse 46.77 (Großhandel mit Altmaterialien und Reststoffen) des Anhangs I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durch die Verordnung (EG) Nr. 295/2008 (ABl. L 97 vom 9.4.2008, S. 13) geändert worden ist, in der jeweils geltenden Fassung, eingeordnet ist, wobei die Ausnahme jeweils nur für den Tätigkeitsbereich gilt, für den die EMAS-Registrierung vorliegt,</w:t>
      </w:r>
    </w:p>
    <w:p>
      <w:pPr>
        <w:ind w:left="420"/>
      </w:pPr>
      <w:r>
        <w:t xml:space="preserve">5. Sammler und Beförderer von gefährlichen Abfällen, die Abfälle mit Seeschiffen sammeln oder befördern, sowie</w:t>
      </w:r>
    </w:p>
    <w:p>
      <w:pPr>
        <w:ind w:left="420"/>
      </w:pPr>
      <w:r>
        <w:t xml:space="preserve">6. Sammler und Beförderer von gefährlichen Abfällen, die Abfälle im Rahmen von Paket-, Express- und Kurierdiensten sammeln oder befördern, soweit diese in ihren Beförderungsbedingungen Rechtsvorschriften berücksichtigen, die aus Gründen der Sicherheit im Zusammenhang mit der Beförderung gefährlicher Güter erlassen sind.</w:t>
      </w:r>
    </w:p>
    <w:p>
      <w:r>
        <w:t xml:space="preserve">(2) Soweit es zur Wahrung des Wohls der Allgemeinheit erforderlich ist, kann die zuständige Behörde abweichend von Absatz 1 die Durchführung eines Erlaubnisverfahrens nach § 54 des Kreislaufwirtschaftsgesetzes anordnen.</w:t>
      </w:r>
    </w:p>
    <w:p>
      <w:r>
        <w:rPr>
          <w:color w:val="555555"/>
          <w:sz w:val="17"/>
        </w:rPr>
        <w:t xml:space="preserve">Zitiervorschlag: § 12 AbfAEV</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