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AbfAEV — Anwendungsbereich</w:t>
      </w:r>
    </w:p>
    <w:p>
      <w:r>
        <w:rPr>
          <w:color w:val="555555"/>
          <w:sz w:val="18"/>
        </w:rPr>
        <w:t xml:space="preserve">Anzeige- und Erlaubnisverordnung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</w:t>
      </w:r>
    </w:p>
    <w:p>
      <w:pPr>
        <w:ind w:left="420"/>
      </w:pPr>
      <w:r>
        <w:t xml:space="preserve">1. Anzeigen der Aufnahme der betrieblichen Tätigkeit durch Sammler, Beförderer, Händler und Makler von Abfällen nach § 53 Absatz 1 Satz 1 des Kreislaufwirtschaftsgesetzes und</w:t>
      </w:r>
    </w:p>
    <w:p>
      <w:pPr>
        <w:ind w:left="420"/>
      </w:pPr>
      <w:r>
        <w:t xml:space="preserve">2. Erlaubnisse für Sammler, Beförderer, Händler und Makler von gefährlichen Abfällen nach § 54 Absatz 1 Satz 1 des Kreislaufwirtschaftsgesetzes.</w:t>
      </w:r>
    </w:p>
    <w:p>
      <w:r>
        <w:t xml:space="preserve">(2) Diese Verordnung gilt auch für anzeige- und erlaubnispflichtige Tätigkeiten, die auf dem Gebiet der Bundesrepublik Deutschland durchgeführt werden im Rahmen einer Verbringung von Abfällen im Sinne der Verordnung (EG) Nr. 1013/2006 des Europäischen Parlaments und des Rates vom 14. Juni 2006 über die Verbringung von Abfällen (ABl. L 190 vom 12.7.2006, S. 1, L 318 vom 28.11.2008, S. 15), die zuletzt durch die Verordnung (EU) Nr. 255/2013 (ABl. L 79 vom 21.3.2013, S. 19) geändert worden ist, in der jeweils geltenden Fassung.</w:t>
      </w:r>
    </w:p>
    <w:p>
      <w:r>
        <w:rPr>
          <w:color w:val="555555"/>
          <w:sz w:val="17"/>
        </w:rPr>
        <w:t xml:space="preserve">Zitiervorschlag: § 1 AbfAEV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https://recht.nulegal.eu/gesetze/AbfAEV/1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