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AbLaV 2016 — Ausschreibungsverfahren und Gesamtabschaltleistungen</w:t>
      </w:r>
    </w:p>
    <w:p>
      <w:r>
        <w:rPr>
          <w:color w:val="555555"/>
          <w:sz w:val="18"/>
        </w:rPr>
        <w:t xml:space="preserve">Verordnung zu abschaltbaren Lasten</w:t>
      </w:r>
    </w:p>
    <w:p>
      <w:r>
        <w:rPr>
          <w:color w:val="555555"/>
          <w:sz w:val="18"/>
        </w:rPr>
        <w:t xml:space="preserve">Außer Kraft: § 8 ist seit 01.07.2022 nicht mehr im AbLaV 2016 enthalten. Angezeigt wird die letzte bekannte Fassung, Stand 10.06.2019.</w:t>
      </w:r>
    </w:p>
    <w:p>
      <w:r>
        <w:t xml:space="preserve">(1) Die Betreiber von Übertragungsnetzen schreiben gemeinsam einmal wöchentlich für einen Ausschreibungszeitraum jeweils von Montag 0 Uhr bis Sonntag 24 Uhr eine Gesamtabschaltleistung von 750 Megawatt an sofort abschaltbaren Lasten sowie eine Gesamtabschaltleistung von 750 Megawatt an schnell abschaltbaren Lasten aus.</w:t>
      </w:r>
    </w:p>
    <w:p>
      <w:r>
        <w:t xml:space="preserve">(2) Die Ausschreibungen erfolgen nach einem durch die Betreiber von Übertragungsnetzen im Benehmen mit der Bundesnetzagentur erstellten und veröffentlichten Ausschreibungskalender jeweils frühestens eine Woche vor dem Ausschreibungszeitraum über eine internetbasierte elektronische Ausschreibungsplattform. Die Betreiber von Übertragungsnetzen machen die Internetadresse der Ausschreibungsplattform im Bundesanzeiger bekannt.</w:t>
      </w:r>
    </w:p>
    <w:p>
      <w:r>
        <w:t xml:space="preserve">(3) Die Betreiber von Übertragungsnetzen sind verpflichtet, der Bundesnetzagentur erstmals zum 1. Juli 2018 und danach mindestens alle 24 Monate einen Bericht vorzulegen, in dem sie ihren Bedarf an sofort abschaltbaren Lasten und schnell abschaltbaren Lasten begründet und quantifiziert abschätzen.</w:t>
      </w:r>
    </w:p>
    <w:p>
      <w:r>
        <w:t xml:space="preserve">(4) Abweichend von Absatz 1 wird die Bundesnetzagentur ermächtigt, durch Festlegungen nach § 29 Absatz 1 des Energiewirtschaftsgesetzes entsprechend dem Zweck nach § 1 Absatz 1 des Energiewirtschaftsgesetzes und unter Berücksichtigung der bisherigen Inanspruchnahme abschaltbarer Lasten</w:t>
      </w:r>
    </w:p>
    <w:p>
      <w:pPr>
        <w:ind w:left="420"/>
      </w:pPr>
      <w:r>
        <w:t xml:space="preserve">1. bis zum 1. Juli 2018 die Gesamtabschaltleistung für sofort abschaltbare Lasten und schnell abschaltbare Lasten auf begründeten Antrag der Betreiber von Übertragungsnetzen zu erhöhen und</w:t>
      </w:r>
    </w:p>
    <w:p>
      <w:pPr>
        <w:ind w:left="420"/>
      </w:pPr>
      <w:r>
        <w:t xml:space="preserve">2. ab dem 1. Juli 2018 nach Vorlage und unter Berücksichtigung des Berichts der Betreiber von Übertragungsnetzen gemäß Absatz 3</w:t>
      </w:r>
    </w:p>
    <w:p>
      <w:pPr>
        <w:ind w:left="780"/>
      </w:pPr>
      <w:r>
        <w:t xml:space="preserve">a) die Gesamtabschaltleistung für sofort abschaltbare Lasten und schnell abschaltbare Lasten festzulegen und</w:t>
      </w:r>
    </w:p>
    <w:p>
      <w:pPr>
        <w:ind w:left="780"/>
      </w:pPr>
      <w:r>
        <w:t xml:space="preserve">b) für Teilmengen der Gesamtabschaltleistung für sofort abschaltbare Lasten und schnell abschaltbare Lasten geographisch beschränkte Ausschreibungen vorzugeben.</w:t>
      </w:r>
    </w:p>
    <w:p>
      <w:r>
        <w:t xml:space="preserve">Die Summe der zugeschlagenen Gesamtabschaltleistungen aus sofort abschaltbaren Lasten und schnell abschaltbaren Lasten darf den Wert nach § 13i Absatz 2 Satz 1 des Energiewirtschaftsgesetzes nicht überschreiten.</w:t>
      </w:r>
    </w:p>
    <w:p>
      <w:r>
        <w:rPr>
          <w:color w:val="555555"/>
          <w:sz w:val="17"/>
        </w:rPr>
        <w:t xml:space="preserve">Zitiervorschlag: § 8 AbLaV 2016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https://recht.nulegal.eu/gesetze/AbLaV%202016/8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