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AbLaV 2016 — Vermarktung am Regelleistungsmarkt und am vortägigen Spotmarkt</w:t>
      </w:r>
    </w:p>
    <w:p>
      <w:r>
        <w:rPr>
          <w:color w:val="555555"/>
          <w:sz w:val="18"/>
        </w:rPr>
        <w:t xml:space="preserve">Verordnung zu abschaltbaren Lasten</w:t>
      </w:r>
    </w:p>
    <w:p>
      <w:r>
        <w:rPr>
          <w:color w:val="555555"/>
          <w:sz w:val="18"/>
        </w:rPr>
        <w:t xml:space="preserve">Außer Kraft: § 7 ist seit 01.07.2022 nicht mehr im AbLaV 2016 enthalten. Angezeigt wird die letzte bekannte Fassung, Stand 10.06.2019.</w:t>
      </w:r>
    </w:p>
    <w:p>
      <w:r>
        <w:t xml:space="preserve">(1) Abweichend von § 5 Absatz 1 Nummer 5 muss die Abschaltleistung nicht für die Zeiträume zur Verfügung gestellt werden, für die eine Vermarktung der abschaltbaren Last erfolgt ist</w:t>
      </w:r>
    </w:p>
    <w:p>
      <w:pPr>
        <w:ind w:left="420"/>
      </w:pPr>
      <w:r>
        <w:t xml:space="preserve">1. am vortägigen Spotmarkt bei einem Strompreis, der über dem gebotenen Arbeitspreis nach § 4 Absatz 2 liegt und mindestens 200 Euro pro Megawattstunde beträgt, oder</w:t>
      </w:r>
    </w:p>
    <w:p>
      <w:pPr>
        <w:ind w:left="420"/>
      </w:pPr>
      <w:r>
        <w:t xml:space="preserve">2. an den Märkten für positive Regelleistung oder für Primärregelleistung.</w:t>
      </w:r>
    </w:p>
    <w:p>
      <w:r>
        <w:t xml:space="preserve">(2) Die Vermarktung nach Absatz 1 steht einem Abruf der Abschaltleistung nach § 10 Absatz 2 Nummer 4, mindestens jedoch einem Abruf mit einer Zeitdauer von vier Viertelstunden, gleich; der Anspruch auf Zahlung des Arbeitspreises entsteht durch die Vermarktung nicht.</w:t>
      </w:r>
    </w:p>
    <w:p>
      <w:r>
        <w:rPr>
          <w:color w:val="555555"/>
          <w:sz w:val="17"/>
        </w:rPr>
        <w:t xml:space="preserve">Zitiervorschlag: § 7 AbLaV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https://recht.nulegal.eu/gesetze/AbLaV%202016/7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AbLaV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