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AZVOPol (Nordrhein-Westfalen) — Arbeitszeit in Form der Bereitschaft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Bereitschaftsdienst darf nur angeordnet werden, wenn zwingende dienstliche Gründe vorliegen. Die durchschnittliche wöchentliche Höchstarbeitszeit gemäß § 3 Absatz 2 darf nicht überschritten werden.</w:t>
      </w:r>
    </w:p>
    <w:p>
      <w:r>
        <w:t xml:space="preserve">(2) Die Entscheidung über die Anordnung von Bereitschaftsdienst obliegt der dienstvorgesetzten Stelle. Diese kann die Befugnis auf Vorgesetzte übertragen.</w:t>
      </w:r>
    </w:p>
    <w:p>
      <w:r>
        <w:t xml:space="preserve">(3) Zeiten des Bereitschaftsdienstes werden als Arbeitszeit gewertet und mit Ausnahme der Ruhepausen gemäß § 6 und Ruhezeiten gemäß § 7 bei fester Arbeitszeit als Freizeitausgleich gewährt und bei flexibler Arbeitszeit gemäß § 23 dem Stundenkonto gutgeschrieben. § 10 bleibt unberührt.</w:t>
      </w:r>
    </w:p>
    <w:p>
      <w:r>
        <w:rPr>
          <w:color w:val="555555"/>
          <w:sz w:val="17"/>
        </w:rPr>
        <w:t xml:space="preserve">Zitiervorschlag: § 9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