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AZVOPol (Nordrhein-Westfalen) — Festlegung von Schichtdienstmodellen</w:t>
      </w:r>
    </w:p>
    <w:p>
      <w:r>
        <w:rPr>
          <w:color w:val="555555"/>
          <w:sz w:val="18"/>
        </w:rPr>
        <w:t xml:space="preserve">Arbeitszeitverordnung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Einführung der auf die speziellen Anforderungen einer Behörde und der dortigen Beschäftigten ausgelegten Schichtdienstmodelle ist Aufgabe der dienstvorgesetzten Stelle.</w:t>
      </w:r>
    </w:p>
    <w:p>
      <w:r>
        <w:t xml:space="preserve">(2) Die Behörden legen in Dienstvereinbarungen Schichtdienstmodelle fest. Eine Behörde kann mehrere Schichtdienstmodelle für unterschiedliche Organisationseinheiten oder Teile von diesen vorsehen. Der Einführung neuer Schichtdienstmodelle soll möglichst eine Erprobungszeit vorausgehen.</w:t>
      </w:r>
    </w:p>
    <w:p>
      <w:r>
        <w:t xml:space="preserve">(3) Bei der Gestaltung der Schichtdienstmodelle sind auch zeitunterdeckende Schichtdienstplanungen möglich.</w:t>
      </w:r>
    </w:p>
    <w:p>
      <w:r>
        <w:rPr>
          <w:color w:val="555555"/>
          <w:sz w:val="17"/>
        </w:rPr>
        <w:t xml:space="preserve">Zitiervorschlag: § 18 AZVOPol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https://recht.nulegal.eu/gesetze/AZVOPol/18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