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AZVOFeu (Nordrhein-Westfalen) — Anwendbarkeit der Arbeitszeitverordnung</w:t>
      </w:r>
    </w:p>
    <w:p>
      <w:r>
        <w:rPr>
          <w:color w:val="555555"/>
          <w:sz w:val="18"/>
        </w:rPr>
        <w:t xml:space="preserve">Arbeitszeitverordnung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Übrigen ist die Verordnung über die Arbeitszeit der Beamtinnen und Beamten im Land Nordrhein-Westfalen (AZVO) anwendbar, soweit sich aus den vorstehenden Regelungen nichts anderes ergibt.</w:t>
      </w:r>
    </w:p>
    <w:p>
      <w:r>
        <w:t xml:space="preserve">(2) Abweichend von § 1 Abs. 1 kann festgelegt werden, dass für das feuerwehrtechnische Personal in Kreisleitstellen die Verordnung über die Arbeitszeit der Beamtinnen und Beamten im Land Nordrhein-Westfalen (AZVO) gilt.</w:t>
      </w:r>
    </w:p>
    <w:p>
      <w:r>
        <w:rPr>
          <w:color w:val="555555"/>
          <w:sz w:val="17"/>
        </w:rPr>
        <w:t xml:space="preserve">Zitiervorschlag: § 7 AZVOFeu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https://recht.nulegal.eu/gesetze/AZVOFeu/7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