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AZVO (Nordrhein-Westfalen) — Langzeitarbeitskonten</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Maßgabe der nachfolgenden Absätze kann Beamtinnen und Beamten die Führung von Langzeitarbeitskonten gestattet werden, wenn dienstliche Gründe nicht entgegenstehen. Langzeitarbeitskonten sind personenbezogene Arbeitszeitkonten. Sie dienen dem langfristigen Ansparen von Zeitguthaben (Ansparphase), die für zusammengefasste Freistellungszeiten verwendet werden können (Entnahmephase). Langzeitarbeitskonten werden unabhängig von einer Erfassung der dienstlichen Anwesenheit nach § 16 Absatz 2 Satz 1 geführt. Die Entscheidung der Beamtin oder des Beamten zur Führung eines Langzeitarbeitskontos erfolgt auf freiwilliger Basis. Nähere Bestimmungen werden durch Dienstvereinbarungen und sodann über Einzelvereinbarungen mit teilnehmenden Beamtinnen und Beamten festgelegt. Die Führung eines Langzeitarbeitskontos ist nicht zulässig für</w:t>
      </w:r>
    </w:p>
    <w:p>
      <w:r>
        <w:t xml:space="preserve">1. Beamtinnen und Beamte auf Widerruf sowie</w:t>
      </w:r>
    </w:p>
    <w:p>
      <w:r>
        <w:t xml:space="preserve">2. Beamtinnen und Beamte, die jederzeit in den einstweiligen Ruhestand versetzt werden können.</w:t>
      </w:r>
    </w:p>
    <w:p>
      <w:r>
        <w:t xml:space="preserve">(2) Für Beamtinnen und Beamte, denen die Führung eines Langzeitarbeitskontos gestattet worden ist, wird über die regelmäßige wöchentliche Arbeitszeit nach § 2 Absatz 1 oder 3 hinaus die Wochenarbeitszeit auf ihren Antrag um maximal drei Stunden erhöht, soweit dies für die Erfüllung ihrer dienstlichen Aufgaben angemessen und zweckmäßig ist. Die Differenz zwischen der regelmäßigen wöchentlichen Arbeitszeit und der tatsächlich geleisteten Arbeitszeit wird dem Langzeitarbeitskonto als Zeitguthaben bis zur Höhe der nach Satz 1 vereinbarten Erhöhung jeweils am Ende des Monats der Ansparung gutgeschrieben (Ansparphase). Darüber hinaus geleistete Arbeitszeit ist dem Gleitzeitkonto oder anderen Konten zur Arbeitszeiterfassung gutzuschreiben. § 2 Absatz 5 und § 4 bleiben unberührt. Soweit tatsächlicher Bedarf für die beantragte Mehrleistung nicht mehr besteht, kann die dienstvorgesetzte Stelle die erhöhte wöchentliche Arbeitszeit nach Satz 1 entsprechend verringert festsetzen.</w:t>
      </w:r>
    </w:p>
    <w:p>
      <w:r>
        <w:t xml:space="preserve">(3) Dem Langzeitarbeitskonto können darüber hinaus jährlich maximal 122 Stunden gutgeschrieben werden, die sich flexibel zusammensetzen können aus:</w:t>
      </w:r>
    </w:p>
    <w:p>
      <w:r>
        <w:t xml:space="preserve">1. Ansprüchen auf Dienstbefreiung für dienstlich angeordnete oder genehmigte Mehrarbeit im Sinne des § 10 unabhängig vom Jahr der Entstehung sowie</w:t>
      </w:r>
    </w:p>
    <w:p>
      <w:r>
        <w:t xml:space="preserve">2. Erholungsurlaub nach § 18 Absatz 2 der Freistellungs- und Urlaubsverordnung NRW, der den jährlichen Mindesturlaub nach § 19a Absatz 1 der Freistellungs- und Urlaubsverordnung NRW übersteigt und nach § 19 Absatz 2 der Freistellungs- und Urlaubsverordnung NRW nicht verfallen ist.</w:t>
      </w:r>
    </w:p>
    <w:p>
      <w:r>
        <w:t xml:space="preserve">Der Urlaub wird in Stunden auf der Basis des zum Zeitpunkt der Gutschreibung durchschnittlich auf einen Arbeitstag entfallenden Teils der regelmäßigen wöchentlichen Arbeitszeit berechnet.</w:t>
      </w:r>
    </w:p>
    <w:p>
      <w:r>
        <w:t xml:space="preserve">(4) Dem Langzeitarbeitskonto können einmalig gutgeschrieben werden:</w:t>
      </w:r>
    </w:p>
    <w:p>
      <w:r>
        <w:t xml:space="preserve">1. bei Einrichtung des Langzeitarbeitskontos maximal 156 Stunden Zeitguthaben nach § 14 Absatz 5 und maximal 122 Stunden nach § 14a Absatz 3 sowie</w:t>
      </w:r>
    </w:p>
    <w:p>
      <w:r>
        <w:t xml:space="preserve">2. befristet bis zum 31. Dezember 2024 maximal 278 Stunden, die wegen Mehrbedarfs aufgrund der Coronapandemie angefallen sind.</w:t>
      </w:r>
    </w:p>
    <w:p>
      <w:r>
        <w:t xml:space="preserve">(5) Dem Langzeitarbeitskonto kann ein Zeitguthaben bis zur Höhe von insgesamt 2 132 Stunden gutgeschrieben werden. Es erfolgt eine jährliche Unterrichtung über den Kontostand. Der Wert des angesparten Zeitguthabens bleibt auch in Fällen einer Verminderung der Besoldung wegen disziplinarrechtlicher Maßnahmen oder nicht bestandener Probezeit nach § 21 des Landesbeamtengesetzes erhalten. Der Wertausgleich erfolgt durch zusätzliche Zeitgutschrift.</w:t>
      </w:r>
    </w:p>
    <w:p>
      <w:r>
        <w:t xml:space="preserve">(6) Beurlaubungszeiten ohne Dienstbezüge, ununterbrochene Freistellungszeiten nach § 65 des Landesbeamtengesetzes und Eltern- und Pflegezeit ohne Teilzeitbeschäftigung werden dem Langzeitarbeitskonto nicht gutgeschrieben. Gleiches gilt für Krankheitszeiten, die insgesamt sechs Wochen pro Jahr in der Ansparphase überschreiten.</w:t>
      </w:r>
    </w:p>
    <w:p>
      <w:r>
        <w:t xml:space="preserve">(7) Im Umfang des Zeitguthabens des Langzeitarbeitskontos wird der Beamtin oder dem Beamten auf Antrag Zeitausgleich durch vollständige oder teilweise Freistellung vom Dienst unter Fortzahlung der Besoldung gewährt (Entnahmephase). Die Dauer einer vollständigen Freistellung oder teilweisen Freistellung mit unterhälftiger Arbeitszeit darf in der Entnahmephase ununterbrochen maximal sechs Monate betragen. Eine weitere vollständige Freistellung oder teilweise Freistellung mit unterhälftiger Arbeitszeit ist erst nach einer Karenzzeit von zwölf Monaten zulässig. Ab fünf Jahren vor Erreichen der Regelaltersgrenze ist der Zeitausgleich nur in Form einer teilweisen Freistellung mit einer Reduzierung der Arbeitszeit bis zur Hälfte der regelmäßigen Arbeitszeit möglich. Während der Entnahmephase bleiben mit Ausnahme der Pflicht zur Dienstleistung alle Rechte und Pflichten aus dem Dienstverhältnis unberührt. Während der Entnahmephase ruht die Ansparphase. Die Entnahmephase wird unterbrochen zur Inanspruchnahme der Schutzfristen des § 3 des Mutterschutzgesetzes vom 23. Mai 2017 (BGBl. I. S. 1228) in der jeweils geltenden Fassung, zur Inanspruchnahme einer Elternzeit, einer Familienpflege- oder Pflegezeit sowie für die Dauer eines bewilligten Urlaubs oder einer Freistellung ohne Besoldung und für die Dauer einer Dienstunfähigkeit.</w:t>
      </w:r>
    </w:p>
    <w:p>
      <w:r>
        <w:t xml:space="preserve">(8) Der Zeitausgleich ist rechtzeitig zu beantragen. Ab einer Entnahmephase von vier Wochen soll der Antrag mindestens vier Monate vor Beginn der Freistellung erfolgen. Die Freistellung bedarf der Zustimmung der dienstvorgesetzten Stelle. Der Freistellungsantrag kann aus dienstlichen Gründen abgelehnt werden. In diesem Fall ist mit der Beamtin oder dem Beamten ein Ersatzzeitraum zu vereinbaren.</w:t>
      </w:r>
    </w:p>
    <w:p>
      <w:r>
        <w:t xml:space="preserve">(9) Das Langzeitarbeitskonto ist vor seiner Beendigung vorab durch Freizeit auszugleichen, sofern dienstliche Gründe nicht entgegenstehen. Nicht ausgeglichenes Zeitguthaben ist nach Beendigung dem Gleitzeitkonto oder anderen Konten zur Arbeitszeiterfassung gutzuschreiben. In den Fällen der Beendigung des Beamtenverhältnisses im Sinne des § 21 des Beamtenstatusgesetzes vom 17. Juni 2008 (BGBl. I S. 1010) in der jeweils geltenden Fassung, bei Dienstherrnwechsel oder in besonderen Härtefällen, wenn der Beamtin oder dem Beamten die Fortsetzung des Langzeitarbeitskontos nicht mehr zuzumuten ist, kann die rechtzeitige Entnahme zum Zwecke des Ausgleichs durch die dienstvorgesetzte Stelle angeordnet werden.</w:t>
      </w:r>
    </w:p>
    <w:p>
      <w:r>
        <w:t xml:space="preserve">(10) Im Fall einer Versetzung kann im Einvernehmen mit der Dienststelle, zu der die Beamtin oder der Beamte versetzt wird, ein Zeitguthaben übertragen werden, sofern diese Dienststelle ebenfalls Langzeitkonten führt. Ein Anspruch auf Übertragung des Zeitguthabens besteht nicht.</w:t>
      </w:r>
    </w:p>
    <w:p>
      <w:r>
        <w:t xml:space="preserve">(11) Von Amts wegen finanziell abzugelten ist Zeitguthaben, das</w:t>
      </w:r>
    </w:p>
    <w:p>
      <w:r>
        <w:t xml:space="preserve">1. zum Zeitpunkt der Beendigung des Beamtenverhältnisses krankheitsbedingt</w:t>
      </w:r>
    </w:p>
    <w:p>
      <w:r>
        <w:t xml:space="preserve">2. wegen eines unvorhersehbaren kurzfristigen Wechsels der Dienstbehörde, in der das Langzeitarbeitskonto nicht fortgeführt werden kann oder</w:t>
      </w:r>
    </w:p>
    <w:p>
      <w:r>
        <w:t xml:space="preserve">3. in Fällen der Beendigung des Beamtenverhältnisses durch Tod</w:t>
      </w:r>
    </w:p>
    <w:p>
      <w:r>
        <w:t xml:space="preserve">nicht durch Freizeit ausgeglichen werden konnte. Für die Berechnung des Abgeltungsbetrages pro Ausgleichstag ist § 19a Absatz 2 der Freistellungs- und Urlaubsverordnung NRW entsprechend anzuwenden.</w:t>
      </w:r>
    </w:p>
    <w:p>
      <w:r>
        <w:rPr>
          <w:color w:val="555555"/>
          <w:sz w:val="17"/>
        </w:rPr>
        <w:t xml:space="preserve">Zitiervorschlag: § 14a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