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AZVO (Nordrhein-Westfalen) — Dienstreisen und Dienstgänge</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Dienstreisen, Dienstgängen, eintägigen Fortbildungen und An- und Abreisetagen von mehrtägigen Fortbildungen werden Zeiten der Erledigung des Dienstgeschäfts innerhalb des am jeweiligen Tag geltenden Arbeitszeitrahmens mit ihrer tatsächlichen Dauer berücksichtigt. Reisezeiten werden bei Dienstreisen, Dienstgängen, soweit Dienstgänge an der Dienststelle beginnen oder enden, eintägigen Fortbildungen und An- und Abreisetagen von mehrtägigen Fortbildungen ebenfalls innerhalb des am jeweiligen Tag geltenden Arbeitszeitrahmens mit ihrer tatsächlichen Dauer berücksichtigt.</w:t>
      </w:r>
    </w:p>
    <w:p>
      <w:r>
        <w:t xml:space="preserve">Überschreiten Zeiten der Erledigung des Dienstgeschäfts den geltenden Arbeitszeitrahmen, so werden sie mit ihrer tatsächlichen Dauer als Arbeitszeit berücksichtigt; bei den jeweiligen Arbeitszeitrahmen überschreitenden Reisezeiten wird die Hälfte dieser Zeit berücksichtigt.</w:t>
      </w:r>
    </w:p>
    <w:p>
      <w:r>
        <w:t xml:space="preserve">Die Reisezeiten werden durch Freizeitausgleich entschädigt. Soweit zwingende dienstliche Gründe nicht entgegenstehen, sind sie bei fester Arbeitszeit innerhalb von zwölf Monaten auszugleichen; bei flexibler Arbeitszeit sind sie dem Stundenkonto (§ 14 Absatz 5 Satz 2) gutzuschreiben.</w:t>
      </w:r>
    </w:p>
    <w:p>
      <w:r>
        <w:t xml:space="preserve">(2) Im Übrigen wird bei mehrtägigen Fortbildungen die regelmäßige tägliche Arbeitszeit für jeden Fortbildungstag berücksichtigt; für teilzeitbeschäftigte Beamtinnen und Beamte wird der auf diesen Tag entfallende Teil der regelmäßigen wöchentlichen Arbeitszeit einer entsprechenden Vollbeschäftigung berücksichtigt. Sollte ausnahmsweise an diesen Tagen die Gesamtdauer der Fortbildung abzüglich der Pausenzeiten über die Summe der für diese Tage vorgesehenen regelmäßigen Arbeitszeit hinausgehen, wird die überschreitende Zeit ebenfalls berücksichtigt.</w:t>
      </w:r>
    </w:p>
    <w:p>
      <w:r>
        <w:rPr>
          <w:color w:val="555555"/>
          <w:sz w:val="17"/>
        </w:rPr>
        <w:t xml:space="preserve">Zitiervorschlag: § 11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