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7c AZV — Abordnung; Zuweisung; Versetzung; Beendigung des Beamtenverhältnisses</w:t>
      </w:r>
    </w:p>
    <w:p>
      <w:r>
        <w:rPr>
          <w:color w:val="555555"/>
          <w:sz w:val="18"/>
        </w:rPr>
        <w:t xml:space="preserve">Arbeitszeitverordnung</w:t>
      </w:r>
    </w:p>
    <w:p>
      <w:r>
        <w:rPr>
          <w:color w:val="555555"/>
          <w:sz w:val="18"/>
        </w:rPr>
        <w:t xml:space="preserve">Stand: 13.04.2025 (konsolidierte Textfassung, kein amtliches Inkrafttretensdatum)</w:t>
      </w:r>
    </w:p>
    <w:p>
      <w:r>
        <w:t xml:space="preserve">(1) In den Fällen der Abordnung, Zuweisung oder einer anderen vorübergehenden Abwesenheit kann bis zur Rückkehr in die Dienststelle kein weiteres Zeitguthaben angespart werden. Das Langzeitkonto bleibt bei der bisherigen Dienststelle bestehen.</w:t>
      </w:r>
    </w:p>
    <w:p>
      <w:r>
        <w:t xml:space="preserve">(2) Bei den in § 7a Absatz 7 Nummer 1 genannten Beamtinnen und Beamten im Fall einer Abordnung innerhalb der Bundespolizei und bei den in § 7a Absatz 7 Nummer 2 genannten Beamtinnen und Beamten im Fall einer Abordnung innerhalb der Zollverwaltung kann bis zur Rückkehr in die Dienststelle weiteres Zeitguthaben angespart werden. Das Langzeitkonto bleibt bei der bisherigen Dienststelle bestehen. Das Zeitguthaben kann bei der aufnehmenden Behörde ausgeglichen werden, sofern die dienstlichen Belange der aufnehmenden Behörde dies zulassen.</w:t>
      </w:r>
    </w:p>
    <w:p>
      <w:r>
        <w:t xml:space="preserve">(3) In den Fällen der Versetzung oder der Beendigung des Beamtenverhältnisses ist das Zeitguthaben grundsätzlich bei derjenigen Dienststelle auszugleichen, bei der es erworben worden ist. Diese Dienststelle soll den Ausgleich gegebenenfalls durch Anordnung ermöglichen.</w:t>
      </w:r>
    </w:p>
    <w:p>
      <w:r>
        <w:t xml:space="preserve">(4) Im Fall einer Versetzung kann im Einvernehmen mit der Dienststelle, zu der die Beamtin oder der Beamte versetzt wird, ein Zeitguthaben übertragen werden, sofern diese Dienststelle ebenfalls Langzeitkonten führt. Ein Anspruch auf Übertragung des Zeitguthabens besteht nicht.</w:t>
      </w:r>
    </w:p>
    <w:p>
      <w:r>
        <w:rPr>
          <w:color w:val="555555"/>
          <w:sz w:val="17"/>
        </w:rPr>
        <w:t xml:space="preserve">Zitiervorschlag: § 7c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