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AZV — Zeitausgleich bei Langzeitkonten</w:t>
      </w:r>
    </w:p>
    <w:p>
      <w:r>
        <w:rPr>
          <w:color w:val="555555"/>
          <w:sz w:val="18"/>
        </w:rPr>
        <w:t xml:space="preserve">Arbeitszeitverordnung</w:t>
      </w:r>
    </w:p>
    <w:p>
      <w:r>
        <w:rPr>
          <w:color w:val="555555"/>
          <w:sz w:val="18"/>
        </w:rPr>
        <w:t xml:space="preserve">Stand: 01.01.2021 (konsolidierte Textfassung, kein amtliches Inkrafttretensdatum)</w:t>
      </w:r>
    </w:p>
    <w:p>
      <w:r>
        <w:t xml:space="preserve">(1) Für das Zeitguthaben der Langzeitkonten wird der Beamtin oder dem Beamten auf Antrag Zeitausgleich gewährt. Sie oder er wird unter Fortzahlung der Besoldung, auf die im Zeitraum der Entnahme entsprechend dem diesem Zeitraum zugrundeliegenden Arbeitszeitmodell ein Anspruch besteht, vom Dienst freigestellt. Ein Anspruch auf Auszahlung besteht nicht. Zeitguthaben sollen grundsätzlich im Inland entnommen werden. Mehrarbeitsstunden nach § 88 des Bundesbeamtengesetzes sind vorrangig auszugleichen.</w:t>
      </w:r>
    </w:p>
    <w:p>
      <w:r>
        <w:t xml:space="preserve">(2) Eine Freistellung ist für einen zusammenhängenden Zeitraum von grundsätzlich höchstens drei Monaten oder einer Verkürzung der Arbeitszeit möglich. Sofern die Freistellung einen zusammenhängenden Zeitraum von sechs Wochen überschreiten soll, soll diese mindestens drei Monate vor dem Datum des gewünschten Beginns der Freistellung beantragt werden.</w:t>
      </w:r>
    </w:p>
    <w:p>
      <w:r>
        <w:t xml:space="preserve">(3) Der Zeitausgleich unmittelbar vor Eintritt in den Ruhestand ist für einen zusammenhängenden Zeitraum von höchstens drei Monaten möglich. Die Kombination mit einem Hinausschieben des Ruhestandes nach § 53 des Bundesbeamtengesetzes ist ausgeschlossen.</w:t>
      </w:r>
    </w:p>
    <w:p>
      <w:r>
        <w:t xml:space="preserve">(4) Der Antrag auf Freistellung kann aus dienstlichen Gründen abgelehnt werden. In diesem Fall ist in Abstimmung mit der Beamtin oder dem Beamten ein Zeitraum festzulegen, in dem eine Freistellung im beantragten Umfang möglich ist.</w:t>
      </w:r>
    </w:p>
    <w:p>
      <w:r>
        <w:t xml:space="preserve">(5) Ein gewährter Zeitausgleich wird nur in Fällen des Mutterschutzes und Elternzeit unterbrochen.</w:t>
      </w:r>
    </w:p>
    <w:p>
      <w:r>
        <w:t xml:space="preserve">(6) Ein gewährter Zeitausgleich kann ausnahmsweise widerrufen werden, wenn bei Abwesenheit der Beamtin oder des Beamten die ordnungsgemäße Erledigung der Dienstgeschäfte nicht gewährleistet wäre. Mehraufwendungen, die der Beamtin oder dem Beamten durch den Widerruf entstehen, werden nach den Bestimmungen des Reisekostenrechts ersetzt.</w:t>
      </w:r>
    </w:p>
    <w:p>
      <w:r>
        <w:rPr>
          <w:color w:val="555555"/>
          <w:sz w:val="17"/>
        </w:rPr>
        <w:t xml:space="preserve">Zitiervorschlag: § 7b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