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AZV — Zuständigkeit</w:t>
      </w:r>
    </w:p>
    <w:p>
      <w:r>
        <w:rPr>
          <w:color w:val="555555"/>
          <w:sz w:val="18"/>
        </w:rPr>
        <w:t xml:space="preserve">Arbeitszeitverordnung</w:t>
      </w:r>
    </w:p>
    <w:p>
      <w:r>
        <w:rPr>
          <w:color w:val="555555"/>
          <w:sz w:val="18"/>
        </w:rPr>
        <w:t xml:space="preserve">Stand: 10.06.2019 (konsolidierte Textfassung, kein amtliches Inkrafttretensdatum)</w:t>
      </w:r>
    </w:p>
    <w:p>
      <w:r>
        <w:t xml:space="preserve">Zuständige Behörde im Sinne dieser Verordnung ist die oberste Dienstbehörde, soweit nichts Abweichendes bestimmt ist. Die oberste Dienstbehörde kann ihre Befugnisse nach dieser Verordnung auf andere Behörden übertragen. Die für Teilzeitbeschäftigung notwendigen individuellen Festsetzungen trifft die Dienstbehörde.</w:t>
      </w:r>
    </w:p>
    <w:p>
      <w:r>
        <w:rPr>
          <w:color w:val="555555"/>
          <w:sz w:val="17"/>
        </w:rPr>
        <w:t xml:space="preserve">Zitiervorschlag: § 16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