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AZV — Rufbereitschaft</w:t>
      </w:r>
    </w:p>
    <w:p>
      <w:r>
        <w:rPr>
          <w:color w:val="555555"/>
          <w:sz w:val="18"/>
        </w:rPr>
        <w:t xml:space="preserve">Arbeitszeitverordnung</w:t>
      </w:r>
    </w:p>
    <w:p>
      <w:r>
        <w:rPr>
          <w:color w:val="555555"/>
          <w:sz w:val="18"/>
        </w:rPr>
        <w:t xml:space="preserve">Stand: 01.01.2021 (konsolidierte Textfassung, kein amtliches Inkrafttretensdatum)</w:t>
      </w:r>
    </w:p>
    <w:p>
      <w:r>
        <w:t xml:space="preserve">Zeiten der Rufbereitschaft sind keine Arbeitszeit. Hat die Beamtin oder der Beamte jedoch über die Arbeitszeit hinaus mehr als zehn Stunden im Kalendermonat Rufbereitschaft, wird innerhalb von zwölf Monaten ein Achtel der über zehn Stunden hinausgehenden Zeit bei feststehender Arbeitszeit als Freizeitausgleich gewährt und bei Gleitzeit dem Gleitzeitkonto gutgeschrieben, soweit nicht zwingende dienstliche Gründe entgegenstehen.</w:t>
      </w:r>
    </w:p>
    <w:p>
      <w:r>
        <w:rPr>
          <w:color w:val="555555"/>
          <w:sz w:val="17"/>
        </w:rPr>
        <w:t xml:space="preserve">Zitiervorschlag: § 12 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