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AZV — Geltungsbereich</w:t>
      </w:r>
    </w:p>
    <w:p>
      <w:r>
        <w:rPr>
          <w:color w:val="555555"/>
          <w:sz w:val="18"/>
        </w:rPr>
        <w:t xml:space="preserve">Arbeitszeitverordnung</w:t>
      </w:r>
    </w:p>
    <w:p>
      <w:r>
        <w:rPr>
          <w:color w:val="555555"/>
          <w:sz w:val="18"/>
        </w:rPr>
        <w:t xml:space="preserve">Stand: 10.06.2019 (konsolidierte Textfassung, kein amtliches Inkrafttretensdatum)</w:t>
      </w:r>
    </w:p>
    <w:p>
      <w:r>
        <w:t xml:space="preserve">Diese Verordnung gilt für alle Beamtinnen und Beamten des Bundes, soweit nicht besondere Arbeitszeitregelungen gelten. Sie gilt nicht für Ehrenbeamtinnen und Ehrenbeamte. Für Beamtinnen auf Widerruf und Beamte auf Widerruf ist zu bestimmen, ob und inwieweit die Vorschriften dieser Verordnung anzuwenden sind.</w:t>
      </w:r>
    </w:p>
    <w:p>
      <w:r>
        <w:rPr>
          <w:color w:val="555555"/>
          <w:sz w:val="17"/>
        </w:rPr>
        <w:t xml:space="preserve">Zitiervorschlag: § 1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