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AZRG — Datenabgleich</w:t>
      </w:r>
    </w:p>
    <w:p>
      <w:r>
        <w:rPr>
          <w:color w:val="555555"/>
          <w:sz w:val="18"/>
        </w:rPr>
        <w:t xml:space="preserve">AZR-Gesetz</w:t>
      </w:r>
    </w:p>
    <w:p>
      <w:r>
        <w:rPr>
          <w:color w:val="555555"/>
          <w:sz w:val="18"/>
        </w:rPr>
        <w:t xml:space="preserve">Stand: 25.06.2023 (konsolidierte Textfassung, kein amtliches Inkrafttretensdatum)</w:t>
      </w:r>
    </w:p>
    <w:p>
      <w:r>
        <w:t xml:space="preserve">(1) Die Registerbehörde kann einen Abgleich in automatisierter Form zwischen ihrem Datenbestand und dem entsprechenden Datenbestand der aktenführenden Behörde oder der öffentlichen Stelle, die Daten an die Registerbehörde übermittelt hat, veranlassen, wenn berechtigte Zweifel an der Richtigkeit und Aktualität des Datenbestandes vorliegen, welche die Veranlassung einer Überprüfung rechtfertigen.</w:t>
      </w:r>
    </w:p>
    <w:p>
      <w:r>
        <w:t xml:space="preserve">(2) Zum Zweck des in Absatz 1 veranlassten Abgleichs dürfen Daten zwischen der Registerbehörde und der aktenführenden Behörde oder der öffentlichen Stelle, die Daten an die Registerbehörde übermittelt hat, wechselseitig in einem von der Registerbehörde genannten abgleichfähigen Format übermittelt oder auf Anfrage der Registerbehörde bereitgestellt werden. Die wechselseitig bereit gestellten oder übermittelten Daten dürfen nur für die Durchführung des Abgleichs sowie die sich daran anschließende Datenpflege verwendet werden und sind sodann unverzüglich zu löschen.</w:t>
      </w:r>
    </w:p>
    <w:p>
      <w:r>
        <w:t xml:space="preserve">(3) Die aktenführende Behörde oder die öffentliche Stelle, die Daten an die Registerbehörde übermittelt hat, ist berechtigt und verpflichtet, die durch den Abgleich ermittelten Hinweise auf eine mögliche Unrichtigkeit, Unvollständigkeit und Aktualität zu prüfen und in eigener Verantwortung Daten zu berichtigen. Die Ergebnisse der Überprüfung sind der Registerbehörde auf einem von ihr zur Verfügung gestellten Weg zu übertragen.</w:t>
      </w:r>
    </w:p>
    <w:p>
      <w:r>
        <w:t xml:space="preserve">(4) Die in Absatz 1 genannten Stellen können sich zum Zweck der Datenpflege und des Datenabgleichs datenverarbeitender Systeme bedienen.</w:t>
      </w:r>
    </w:p>
    <w:p>
      <w:r>
        <w:rPr>
          <w:color w:val="555555"/>
          <w:sz w:val="17"/>
        </w:rPr>
        <w:t xml:space="preserve">Zitiervorschlag: § 8a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