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AZRG — Übermittlung und Veränderung von Daten im Wege der Direkteingabe</w:t>
      </w:r>
    </w:p>
    <w:p>
      <w:r>
        <w:rPr>
          <w:color w:val="555555"/>
          <w:sz w:val="18"/>
        </w:rPr>
        <w:t xml:space="preserve">AZR-Gesetz</w:t>
      </w:r>
    </w:p>
    <w:p>
      <w:r>
        <w:rPr>
          <w:color w:val="555555"/>
          <w:sz w:val="18"/>
        </w:rPr>
        <w:t xml:space="preserve">Stand: 29.05.2024 (konsolidierte Textfassung, kein amtliches Inkrafttretensdatum)</w:t>
      </w:r>
    </w:p>
    <w:p>
      <w:r>
        <w:t xml:space="preserve">Die nach § 22 Abs. 1 zum Abruf von Daten im automatisierten Verfahren zugelassenen Stellen dürfen, sofern sie nicht lediglich zum Datenabruf berechtigt sind, der Registerbehörde die von ihnen zu übermittelnden Daten im Wege der Direkteingabe in das Register mit unmittelbarer Wirkung für dessen Datenbestand übermitteln. Sie sind verpflichtet, die von ihnen eingegebenen Daten, die unrichtig geworden sind oder deren Unrichtigkeit sich nachträglich herausgestellt hat, im Wege der Direkteingabe unverzüglich zu berichtigen oder zu aktualisieren. Bei einem Wechsel der Zuständigkeit gilt Satz 2 für die Stelle entsprechend, auf die die Zuständigkeit übergegangen ist, soweit sie zum automatisierten Verfahren zugelassen ist. Die Registerbehörde hat sicherzustellen, daß dabei nur die Eingabe der jeweils zur Übermittlung zugelassenen Daten technisch möglich ist und den übermittelnden Stellen nur die Daten zur Kenntnis gelangen, die für die Speicherung erforderlich sind. Die eingebende Stelle muß aus der Datei ersichtlich sein.</w:t>
      </w:r>
    </w:p>
    <w:p>
      <w:r>
        <w:rPr>
          <w:color w:val="555555"/>
          <w:sz w:val="17"/>
        </w:rPr>
        <w:t xml:space="preserve">Zitiervorschlag: § 7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