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AZRG — Übermittelnde Stellen, Inhalt der Datenübermittlung</w:t>
      </w:r>
    </w:p>
    <w:p>
      <w:r>
        <w:rPr>
          <w:color w:val="555555"/>
          <w:sz w:val="18"/>
        </w:rPr>
        <w:t xml:space="preserve">AZR-Gesetz</w:t>
      </w:r>
    </w:p>
    <w:p>
      <w:r>
        <w:rPr>
          <w:color w:val="555555"/>
          <w:sz w:val="18"/>
        </w:rPr>
        <w:t xml:space="preserve">Stand: 04.08.2026 (konsolidierte Textfassung, kein amtliches Inkrafttretensdatum)</w:t>
      </w:r>
    </w:p>
    <w:p>
      <w:r>
        <w:t xml:space="preserve">(1) Folgende Stellen sind in den jeweils genannten Fällen zur unverzüglichen Übermittlung von Daten an die Registerbehörde verpflichtet:</w:t>
      </w:r>
    </w:p>
    <w:p>
      <w:pPr>
        <w:ind w:left="420"/>
      </w:pPr>
      <w:r>
        <w:t xml:space="preserve">1. die Ausländerbehörden und die mit der Durchführung ausländerrechtlicher Vorschriften betrauten öffentlichen Stellen in den Fällen des § 2 Absatz 1 bis 2 Nummer 1 bis 4, 6, 11, 12 und 14, Absatz 2b sowie Absatz 3 Nummer 1, 3, 4 und 6, sofern nicht Absatz 2a etwas anderes regelt,</w:t>
      </w:r>
    </w:p>
    <w:p>
      <w:pPr>
        <w:ind w:left="420"/>
      </w:pPr>
      <w:r>
        <w:t xml:space="preserve">1a. die für die Aufnahmeeinrichtungen zuständigen Behörden (Aufnahmeeinrichtungen) in den Fällen des § 2 Absatz 1a und 2 Nummer 1 und 2,</w:t>
      </w:r>
    </w:p>
    <w:p>
      <w:pPr>
        <w:ind w:left="420"/>
      </w:pPr>
      <w:r>
        <w:t xml:space="preserve">1b. die für die Unterbringung in Gemeinschaftsunterkünften und die für den öffentlichen Gesundheitsdienst zuständigen Behörden in den Fällen des § 2 Absatz 1a und 2 Nummer 1,</w:t>
      </w:r>
    </w:p>
    <w:p>
      <w:pPr>
        <w:ind w:left="420"/>
      </w:pPr>
      <w:r>
        <w:t xml:space="preserve">2. die mit grenzpolizeilichen Aufgaben betrauten Behörden und die in der Rechtsverordnung nach § 58 Absatz 1 des Bundespolizeigesetzes bestimmte Bundespolizeibehörde in den Fällen des § 2 Absatz 1a und 2 Nummer 3 bis 6 und 13 und, soweit es der Stand des Verfahrens zulässt, in den Fällen des § 2 Absatz 2 Nummer 7 und 7a sowie Absatz 3 Nummer 3 und 5 bis 7,</w:t>
      </w:r>
    </w:p>
    <w:p>
      <w:pPr>
        <w:ind w:left="420"/>
      </w:pPr>
      <w:r>
        <w:t xml:space="preserve">3. das Bundesamt für Migration und Flüchtlinge in den Fällen des § 2 Absatz 1a und 2 Nummer 1, 3 und 6, Absatz 2a sowie Absatz 3 Nummer 2, 3 und 6, sofern nicht Absatz 2a etwas anderes regelt,</w:t>
      </w:r>
    </w:p>
    <w:p>
      <w:pPr>
        <w:ind w:left="420"/>
      </w:pPr>
      <w:r>
        <w:t xml:space="preserve">4. das Bundeskriminalamt, die Landeskriminalämter, das Zollkriminalamt und sonstige Polizeivollzugsbehörden der Länder, in den Fällen des § 2 Absatz 1a Nummer 2 und 3 sowie Absatz 2 Nummer 6 und, soweit es der Stand des Verfahrens zulässt, die ermittlungsführenden Polizeibehörden in den Fällen des § 2 Absatz 2 Nummer 7 und 7a sowie Absatz 3 Nummer 6 und 7,</w:t>
      </w:r>
    </w:p>
    <w:p>
      <w:pPr>
        <w:ind w:left="420"/>
      </w:pPr>
      <w:r>
        <w:t xml:space="preserve">4a. die Polizeivollzugsbehörden der Länder in den Fällen des § 2 Absatz 1a Nummer 1,</w:t>
      </w:r>
    </w:p>
    <w:p>
      <w:pPr>
        <w:ind w:left="420"/>
      </w:pPr>
      <w:r>
        <w:t xml:space="preserve">5. die Staatsanwaltschaften und die Gerichte im Fall des § 2 Absatz 2 Nummer 6 und Absatz 3 Nummer 6 sowie die Staatsanwaltschaften bei den Oberlandesgerichten im Fall des § 2 Absatz 2 Nummer 8,</w:t>
      </w:r>
    </w:p>
    <w:p>
      <w:pPr>
        <w:ind w:left="420"/>
      </w:pPr>
      <w:r>
        <w:t xml:space="preserve">6. die Staatsangehörigkeitsbehörden im Fall des § 2 Absatz 2 Nummer 9,</w:t>
      </w:r>
    </w:p>
    <w:p>
      <w:pPr>
        <w:ind w:left="420"/>
      </w:pPr>
      <w:r>
        <w:t xml:space="preserve">7. die in den Angelegenheiten der Vertriebenen, Aussiedler und Spätaussiedler zuständigen Stellen im Fall des § 2 Absatz 2 Nummer 10,</w:t>
      </w:r>
    </w:p>
    <w:p>
      <w:pPr>
        <w:ind w:left="420"/>
      </w:pPr>
      <w:r>
        <w:t xml:space="preserve">8. die Bundesagentur für Arbeit und die für die Durchführung der Grundsicherung für Arbeitsuchende zuständigen Stellen, die für die Ausführung des Achten Buches Sozialgesetzbuch nach Landesrecht zuständigen Stellen (Jugendämter), die für den Vollzug des Unterhaltsvorschussgesetzes zuständigen Stellen (Unterhaltsvorschussstellen) und die für die Ausführung des Zwölften Buches Sozialgesetzbuch zuständigen Stellen (Träger der Sozialhilfe) in den Fällen des § 2 Absatz 2 Nummer 3a, die Bundesagentur für Arbeit und die für die Durchführung der Grundsicherung für Arbeitsuchende zuständigen Stellen in den Fällen des § 2 Absatz 1a Nummer 1 und Absatz 2 Nummer 1 sowie die Bundesagentur für Arbeit in den Fällen des § 2 Absatz 2c,</w:t>
      </w:r>
    </w:p>
    <w:p>
      <w:pPr>
        <w:ind w:left="420"/>
      </w:pPr>
      <w:r>
        <w:t xml:space="preserve">8a. die für die Durchführung des Asylbewerberleistungsgesetzes zuständigen Stellen in den Fällen des § 2 Absatz 2 Nummer 3a,</w:t>
      </w:r>
    </w:p>
    <w:p>
      <w:pPr>
        <w:ind w:left="420"/>
      </w:pPr>
      <w:r>
        <w:t xml:space="preserve">9. die Meldebehörden in den Fällen des § 2 Absatz 1, 1a und 2 Nummer 1 bis 4 und 6 bis 14.</w:t>
      </w:r>
    </w:p>
    <w:p>
      <w:pPr>
        <w:ind w:left="420"/>
      </w:pPr>
      <w:r>
        <w:t xml:space="preserve">10. (zukünftig)</w:t>
      </w:r>
    </w:p>
    <w:p>
      <w:pPr>
        <w:ind w:left="420"/>
      </w:pPr>
      <w:r>
        <w:t xml:space="preserve">11. die Einrichtungen, in denen Abschiebungshaft, Ausreisegewahrsam oder ergänzende Vorbereitungshaft sowie Haft gemäß Artikel 28 der Verordnung (EU) Nr. 604/2013 vollzogen wird (Abschiebungshafteinrichtungen), in den Fällen des § 2 Absatz 2 Nummer 3.</w:t>
      </w:r>
    </w:p>
    <w:p>
      <w:r>
        <w:t xml:space="preserve">(2) Die Stellen nach Absatz 1 Nummer 1, 1a und 2 bis 7 übermitteln die Daten nach § 3 Absatz 1 Nummer 1, 3 bis 5a und 7 sowie Absatz 4 Nummer 1, 3 bis 5 und 7. Von der Übermittlung der Daten einer gefährdeten Person im Fall des § 2 Abs. 2 Nr. 7 kann im Einzelfall abgesehen werden, wenn die Speicherung ihren schutzwürdigen Interessen entgegensteht. Außerdem übermitteln</w:t>
      </w:r>
    </w:p>
    <w:p>
      <w:pPr>
        <w:ind w:left="420"/>
      </w:pPr>
      <w:r>
        <w:t xml:space="preserve">1. die in Absatz 1 Nummer 1 bezeichneten Stellen die Angaben nach § 3 Absatz 1 Nummer 5b bis 6, 7a, 8 und 10, Absatz 2, 3 Nummer 1 und 2, Absatz 3c und 3d und 4 Nummer 6 sowie die Daten nach § 4 Absatz 1 und 2, sofern nicht Absatz 2a etwas anderes regelt,</w:t>
      </w:r>
    </w:p>
    <w:p>
      <w:pPr>
        <w:ind w:left="420"/>
      </w:pPr>
      <w:r>
        <w:t xml:space="preserve">2. die in Absatz 1 Nummer 1a bezeichneten Stellen die Daten nach § 3 Absatz 1 Nummer 5b bis 6 und 8, Absatz 2, 3 Nummer 1 und 2, Absatz 3c,</w:t>
      </w:r>
    </w:p>
    <w:p>
      <w:pPr>
        <w:ind w:left="420"/>
      </w:pPr>
      <w:r>
        <w:t xml:space="preserve">3. die in Absatz 1 Nummer 1b bezeichneten Stellen die Daten nach § 3 Absatz 2 Nummer 9 bis 11,</w:t>
      </w:r>
    </w:p>
    <w:p>
      <w:pPr>
        <w:ind w:left="420"/>
      </w:pPr>
      <w:r>
        <w:t xml:space="preserve">4. die in Absatz 1 Nummer 2 bezeichneten Stellen die Daten nach § 3 Absatz 1 Nummer 5b bis 6 und 8, Absatz 2 Nummer 1, 2 und 4 bis 8, Absatz 3c bis 3e,</w:t>
      </w:r>
    </w:p>
    <w:p>
      <w:pPr>
        <w:ind w:left="420"/>
      </w:pPr>
      <w:r>
        <w:t xml:space="preserve">4a. die in Absatz 1 Nummer 4a bezeichneten Stellen die Daten nach § 3 Absatz 1 Nummer 5b bis 5d, Absatz 2 Nummer 1, 2 und 4 bis 8,</w:t>
      </w:r>
    </w:p>
    <w:p>
      <w:pPr>
        <w:ind w:left="420"/>
      </w:pPr>
      <w:r>
        <w:t xml:space="preserve">5. die in Absatz 1 Nummer 3 bezeichnete Stelle die Daten nach § 3 Absatz 1 Nummer 5b bis 6 und 8, Absatz 2 Nummer 1 bis 8, Absatz 3 Nummer 3, Absatz 3b und 3d sowie § 4 Absatz 1 und 2, sofern nicht Absatz 2a etwas anderes regelt,</w:t>
      </w:r>
    </w:p>
    <w:p>
      <w:pPr>
        <w:ind w:left="420"/>
      </w:pPr>
      <w:r>
        <w:t xml:space="preserve">5a. die in Absatz 1 Nummer 4 bezeichneten Stellen die Daten nach § 3 Absatz 1 Nummer 5b und zusätzlich das Bundeskriminalamt die Referenznummern nach § 3 Absatz 2 Nummer 1 in den Fällen des § 2 Absatz 1a Nummer 2 und 3, die Referenznummern nach § 3 Absatz 3a Nummer 1 in den Fällen des § 2 Absatz 2 Nummer 3 und die Referenznummern nach § 3 Absatz 3b in den Fällen des § 2 Absatz 2a,</w:t>
      </w:r>
    </w:p>
    <w:p>
      <w:pPr>
        <w:ind w:left="420"/>
      </w:pPr>
      <w:r>
        <w:t xml:space="preserve">6. die Bundesagentur für Arbeit und die für die Durchführung der Grundsicherung für Arbeitsuchende zuständigen Stellen, die für die Ausführung des Achten Buches Sozialgesetzbuch nach Landesrecht zuständigen Stellen (Jugendämter), die für den Vollzug des Unterhaltsvorschussgesetzes zuständigen Stellen (Unterhaltsvorschussstellen) und die für die Ausführung des Zwölften Buches Sozialgesetzbuch zuständigen Stellen (Träger der Sozialhilfe) die Daten nach § 3 Absatz 1 Nummer 6a in den Fällen des § 2 Absatz 2 Nummer 3a, die Bundesagentur für Arbeit und die für die Durchführung der Grundsicherung für Arbeitsuchende zuständigen Stellen die Daten nach § 3 Absatz 3 in den Fällen des § 2 Absatz 1a Nummer 1 und Absatz 2 Nummer 1, die für die Ausführung des Achten Buches Sozialgesetzbuch nach Landesrecht zuständigen Stellen (Jugendämter) die Daten nach § 3 Absatz 2 Nummer 8 in den Fällen des § 2 Absatz 1a und 2 Nummer 1 und die Daten nach § 3 Absatz 3c in den Fällen des § 2 Absatz 2 Nummer 2 sowie die Bundesagentur für Arbeit die Daten nach § 3 Absatz 1 Nummer 1, 3, 4 und 7 in den Fällen des § 2 Absatz 2c,</w:t>
      </w:r>
    </w:p>
    <w:p>
      <w:pPr>
        <w:ind w:left="420"/>
      </w:pPr>
      <w:r>
        <w:t xml:space="preserve">6a. die in Absatz 1 Nummer 8a bezeichneten Stellen die Daten nach § 3 Absatz 1 Nummer 6a,</w:t>
      </w:r>
    </w:p>
    <w:p>
      <w:pPr>
        <w:ind w:left="420"/>
      </w:pPr>
      <w:r>
        <w:t xml:space="preserve">7. die in Absatz 1 Nummer 9 bezeichneten Stellen die Daten nach § 3 Absatz 1 Nummer 2, 4, 5c und die frühere Anschrift im Bundesgebiet und das Auszugsdatum sowie Auskunftssperren nach § 51 des Bundesmeldegesetzes und deren Wegfall,</w:t>
      </w:r>
    </w:p>
    <w:p>
      <w:pPr>
        <w:ind w:left="420"/>
      </w:pPr>
      <w:r>
        <w:t xml:space="preserve">8. die in Absatz 1 Nummer 11 bezeichneten Stellen die Freiheitsentziehung nach den §§ 62, 62b und 62c des Aufenthaltsgesetzes oder Artikel 28 der Verordnung (EU) Nr. 604/2013 sowie die gegenwärtige Anschrift während der Freiheitsentziehung.</w:t>
      </w:r>
    </w:p>
    <w:p>
      <w:r>
        <w:t xml:space="preserve">(2a) Zusätzlich übermitteln die in Absatz 1 Nummer 1 bezeichneten Stellen die Daten nach § 3 Absatz 1 Nummer 9, es sei denn, es handelt sich um einen Fall des § 2 Absatz 1a und 2 Nummer 1, und der Ausländer hat die Berechtigung zum Integrationskurs bereits von einer der Stellen nach Absatz 1 Nummer 3 oder 8a erhalten. In diesem Fall übermittelt die Stelle nach Absatz 1 Nummer 3 die Daten nach § 3 Absatz 1 Nummer 9 mit Ausnahme der Daten zu gemeldeten Fehlzeiten und zu Hinweisen nach § 44a Absatz 3 Satz 1 des Aufenthaltsgesetzes, für die die in Absatz 1 Nummer 1 bezeichneten Stellen zuständig bleiben. Die Übermittlungsverpflichtung nach Satz 2 endet erst mit Beendigung der Teilnahme am Integrationskurs und nicht bereits mit Abschluss des Asylverfahrens.</w:t>
      </w:r>
    </w:p>
    <w:p>
      <w:r>
        <w:t xml:space="preserve">(3) Die Verfassungsschutzbehörden des Bundes und der Länder sowie die Staatsanwaltschaften dürfen, soweit andere Vorschriften nicht entgegenstehen, in den Fällen des § 2 Absatz 2 Nummer 7 und 7a sowie Absatz 3 Nummer 7 Daten an die Registerbehörde übermitteln. Absatz 2 Satz 2 ist zu beachten.</w:t>
      </w:r>
    </w:p>
    <w:p>
      <w:r>
        <w:t xml:space="preserve">(4) Für die Einstellung eines Suchvermerks nach § 5 dürfen die ersuchenden öffentlichen Stellen die Daten nach § 3 Absatz 1 Nummer 1, 2, 5b bis 5d, Absatz 2 Nummer 1, 2, 6, 7 und Absatz 4 Nummer 1 und 2 und die Grundpersonalien, die weiteren Personalien und, außer bei Unionsbürgern, ein Lichtbild an die Registerbehörde übermitteln. Kann die Registerbehörde für den Fall, daß im Register bereits Daten gespeichert sind, die Identität nicht eindeutig feststellen, gilt § 10 Abs. 3 entsprechend.</w:t>
      </w:r>
    </w:p>
    <w:p>
      <w:r>
        <w:t xml:space="preserve">(5) Betrifft die Speicherung</w:t>
      </w:r>
    </w:p>
    <w:p>
      <w:pPr>
        <w:ind w:left="420"/>
      </w:pPr>
      <w:r>
        <w:t xml:space="preserve">1. eine Entscheidung des Bundesamtes für Migration und Flüchtlinge über Anerkennung, Ablehnung oder Aufhebung des Schutzstatus nach dem Asylgesetz oder nach § 60 Absatz 5 oder 7 des Aufenthaltsgesetzes,</w:t>
      </w:r>
    </w:p>
    <w:p>
      <w:pPr>
        <w:ind w:left="420"/>
      </w:pPr>
      <w:r>
        <w:t xml:space="preserve">2. aufenthaltsrechtliche Entscheidungen im Zusammenhang mit einer Ausweisung, Abschiebung, Zurückweisung oder Zurückschiebung,</w:t>
      </w:r>
    </w:p>
    <w:p>
      <w:pPr>
        <w:ind w:left="420"/>
      </w:pPr>
      <w:r>
        <w:t xml:space="preserve">3. eine gerichtliche Entscheidung in asyl- oder aufenthaltsrechtlichen Verfahren,</w:t>
      </w:r>
    </w:p>
    <w:p>
      <w:pPr>
        <w:ind w:left="420"/>
      </w:pPr>
      <w:r>
        <w:t xml:space="preserve">4. die Einschränkung oder Untersagung der politischen Betätigung,</w:t>
      </w:r>
    </w:p>
    <w:p>
      <w:pPr>
        <w:ind w:left="420"/>
      </w:pPr>
      <w:r>
        <w:t xml:space="preserve">5. den Verlust des Rechts auf Einreise und Aufenthalt nach dem Freizügigkeitsgesetz/EU,</w:t>
      </w:r>
    </w:p>
    <w:p>
      <w:pPr>
        <w:ind w:left="420"/>
      </w:pPr>
      <w:r>
        <w:t xml:space="preserve">6. Einreisebedenken,</w:t>
      </w:r>
    </w:p>
    <w:p>
      <w:pPr>
        <w:ind w:left="420"/>
      </w:pPr>
      <w:r>
        <w:t xml:space="preserve">7. ausländische Ausweis- oder Identifikationsdokumente,</w:t>
      </w:r>
    </w:p>
    <w:p>
      <w:pPr>
        <w:ind w:left="420"/>
      </w:pPr>
      <w:r>
        <w:t xml:space="preserve">8. die Erteilung einer nach § 81a Absatz 3 Satz 1 Nummer 6 des Aufenthaltsgesetzes erforderlichen Vorabzustimmung oder</w:t>
      </w:r>
    </w:p>
    <w:p>
      <w:pPr>
        <w:ind w:left="420"/>
      </w:pPr>
      <w:r>
        <w:t xml:space="preserve">9. Entscheidungen der Bundesagentur für Arbeit über die Ausübung einer Beschäftigung in den Fällen des § 2 Absatz 2c,</w:t>
      </w:r>
    </w:p>
    <w:p>
      <w:r>
        <w:t xml:space="preserve">sind auch die der Speicherung zugrundeliegenden Dokumente durch die übermittelnde Stelle zu übermitteln; betrifft die Speicherung Entscheidungen des Bundesamtes für Migration und Flüchtlinge oder gerichtliche Entscheidungen in asylrechtlichen Verfahren, mit denen ein Schutzstatus nach dem Asylgesetz zuerkannt oder ein Abschiebungsverbot nach § 60 Absatz 5 oder 7 des Aufenthaltsgesetzes festgestellt oder jeder der vorgenannten Schutzstatus abgelehnt wird, ohne dass damit eine Rückkehrentscheidung nach dem Asyl- oder Aufenthaltsgesetz einhergeht, ist nur der Tenor der jeweiligen Entscheidung zu übermitteln. Die Speicherung von Dokumenten nach Nummer 1 und von gerichtlichen Entscheidungen in asylrechtlichen Verfahren darf nur erfolgen, soweit besondere gesetzliche Verarbeitungsregelungen oder überwiegende schutzwürdige Interessen des Ausländers nicht entgegenstehen; Erkenntnisse aus dem Kernbereich privater Lebensgestaltung sind unkenntlich zu machen. Die Registerbehörde hat sicherzustellen, dass im automatisierten Verfahren Dokumente nur abgerufen werden können, wenn die abrufende Stelle das Vorliegen der Voraussetzungen des § 10 Absatz 6 zuvor bestätigt. Die Dokumente sind zu löschen, wenn die dazugehörigen gespeicherten Daten gelöscht werden.</w:t>
      </w:r>
    </w:p>
    <w:p>
      <w:r>
        <w:rPr>
          <w:color w:val="555555"/>
          <w:sz w:val="17"/>
        </w:rPr>
        <w:t xml:space="preserve">Zitiervorschlag: § 6 AZRG</w:t>
      </w:r>
    </w:p>
    <w:p>
      <w:r>
        <w:rPr>
          <w:color w:val="555555"/>
          <w:sz w:val="17"/>
        </w:rPr>
        <w:t xml:space="preserve">Quelle: Bundesamt für Justiz, abgerufen 04.08.2026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