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 AZRG — Rechtsverordnungen</w:t>
      </w:r>
    </w:p>
    <w:p>
      <w:r>
        <w:rPr>
          <w:color w:val="555555"/>
          <w:sz w:val="18"/>
        </w:rPr>
        <w:t xml:space="preserve">AZR-Gesetz</w:t>
      </w:r>
    </w:p>
    <w:p>
      <w:r>
        <w:rPr>
          <w:color w:val="555555"/>
          <w:sz w:val="18"/>
        </w:rPr>
        <w:t xml:space="preserve">Stand: 04.08.2026 (konsolidierte Textfassung, kein amtliches Inkrafttretensdatum)</w:t>
      </w:r>
    </w:p>
    <w:p>
      <w:r>
        <w:t xml:space="preserve">Das Bundesministerium des Innern bestimmt mit Zustimmung des Bundesrates durch Rechtsverordnung</w:t>
      </w:r>
    </w:p>
    <w:p>
      <w:pPr>
        <w:ind w:left="420"/>
      </w:pPr>
      <w:r>
        <w:t xml:space="preserve">1. Näheres zu den Daten, die</w:t>
      </w:r>
    </w:p>
    <w:p>
      <w:pPr>
        <w:ind w:left="780"/>
      </w:pPr>
      <w:r>
        <w:t xml:space="preserve">a) von der Registerbehörde gespeichert werden,</w:t>
      </w:r>
    </w:p>
    <w:p>
      <w:pPr>
        <w:ind w:left="780"/>
      </w:pPr>
      <w:r>
        <w:t xml:space="preserve">b) an und durch die Registerbehörde übermittelt oder innerhalb der Registerbehörde weitergegeben werden;</w:t>
      </w:r>
    </w:p>
    <w:p>
      <w:pPr>
        <w:ind w:left="420"/>
      </w:pPr>
      <w:r>
        <w:t xml:space="preserve">2. Näheres zu den Voraussetzungen und zum Verfahren</w:t>
      </w:r>
    </w:p>
    <w:p>
      <w:pPr>
        <w:ind w:left="780"/>
      </w:pPr>
      <w:r>
        <w:t xml:space="preserve">a) der Übermittlung von Daten an und durch die Registerbehörde, insbesondere der Direkteingabe von Daten, des Datenabrufs und der Datenübermittlung im automatisierten Verfahren, sowie der Weitergabe innerhalb der Registerbehörde,</w:t>
      </w:r>
    </w:p>
    <w:p>
      <w:pPr>
        <w:ind w:left="780"/>
      </w:pPr>
      <w:r>
        <w:t xml:space="preserve">b) der Identitätsprüfung nach § 10 Abs. 3, § 21 Abs. 3 und § 31 Abs. 1,</w:t>
      </w:r>
    </w:p>
    <w:p>
      <w:pPr>
        <w:ind w:left="780"/>
      </w:pPr>
      <w:r>
        <w:t xml:space="preserve">c) bei Gruppenauskünften,</w:t>
      </w:r>
    </w:p>
    <w:p>
      <w:pPr>
        <w:ind w:left="780"/>
      </w:pPr>
      <w:r>
        <w:t xml:space="preserve">d) der Übermittlungssperren, der Einschränkung der Verarbeitung und der Auskunft an die betroffene Person,</w:t>
      </w:r>
    </w:p>
    <w:p>
      <w:pPr>
        <w:ind w:left="780"/>
      </w:pPr>
      <w:r>
        <w:t xml:space="preserve">e) bei der Fertigung, Aufbewahrung, Verwendung, Löschung oder Vernichtung der im Gesetz vorgesehenen Aufzeichnungen,</w:t>
      </w:r>
    </w:p>
    <w:p>
      <w:pPr>
        <w:ind w:left="780"/>
      </w:pPr>
      <w:r>
        <w:t xml:space="preserve">f) bei Dokumenten nach § 6 Absatz 5;</w:t>
      </w:r>
    </w:p>
    <w:p>
      <w:pPr>
        <w:ind w:left="420"/>
      </w:pPr>
      <w:r>
        <w:t xml:space="preserve">3. Näheres zur Verantwortung für den Registerinhalt und die Datenpflege;</w:t>
      </w:r>
    </w:p>
    <w:p>
      <w:pPr>
        <w:ind w:left="420"/>
      </w:pPr>
      <w:r>
        <w:t xml:space="preserve">4. die im Hinblick auf die Zweckbindung angemessenen Fristen für die Löschung der im Ausländerzentralregister gespeicherten Daten;</w:t>
      </w:r>
    </w:p>
    <w:p>
      <w:pPr>
        <w:ind w:left="420"/>
      </w:pPr>
      <w:r>
        <w:t xml:space="preserve">5. Regelungen über die elektronische Registerführung und die elektronische Datenübermittlung zwischen der Registerbehörde und den mit der Durchführung ausländer- und asylrechtlicher Vorschriften beauftragten Behörden und anderen öffentlichen Stellen, die sich auf die technischen Grundsätze des Aufbaus der verwendeten Standards und das Verfahren der Datenübermittlung beziehen.</w:t>
      </w:r>
    </w:p>
    <w:p>
      <w:r>
        <w:rPr>
          <w:color w:val="555555"/>
          <w:sz w:val="17"/>
        </w:rPr>
        <w:t xml:space="preserve">Zitiervorschlag: § 40 AZRG</w:t>
      </w:r>
    </w:p>
    <w:p>
      <w:r>
        <w:rPr>
          <w:color w:val="555555"/>
          <w:sz w:val="17"/>
        </w:rPr>
        <w:t xml:space="preserve">Quelle: Bundesamt für Justiz, abgerufen 04.08.2026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https://recht.nulegal.eu/gesetze/AZRG/40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