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AZRG — Abruf im automatisierten Verfahren</w:t>
      </w:r>
    </w:p>
    <w:p>
      <w:r>
        <w:rPr>
          <w:color w:val="555555"/>
          <w:sz w:val="18"/>
        </w:rPr>
        <w:t xml:space="preserve">AZR-Gesetz</w:t>
      </w:r>
    </w:p>
    <w:p>
      <w:r>
        <w:rPr>
          <w:color w:val="555555"/>
          <w:sz w:val="18"/>
        </w:rPr>
        <w:t xml:space="preserve">Stand: 29.05.2024 (konsolidierte Textfassung, kein amtliches Inkrafttretensdatum)</w:t>
      </w:r>
    </w:p>
    <w:p>
      <w:r>
        <w:t xml:space="preserve">Die in § 32 bezeichneten Stellen können zum Abruf von Daten im automatisierten Verfahren zugelassen werden. § 22 Absatz 1 Satz 2 bis 4 und Absatz 2 bis 4 gilt entsprechend.</w:t>
      </w:r>
    </w:p>
    <w:p>
      <w:r>
        <w:rPr>
          <w:color w:val="555555"/>
          <w:sz w:val="17"/>
        </w:rPr>
        <w:t xml:space="preserve">Zitiervorschlag: § 33 AZRG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https://recht.nulegal.eu/gesetze/AZRG/33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