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AZRG — Dritte, an die Daten übermittelt werden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04.08.2026 (konsolidierte Textfassung, kein amtliches Inkrafttretensdatum)</w:t>
      </w:r>
    </w:p>
    <w:p>
      <w:r>
        <w:t xml:space="preserve">(1) Auf Ersuchen werden die Daten an folgende öffentliche Stellen zur Erfüllung ihrer Aufgaben übermittelt:</w:t>
      </w:r>
    </w:p>
    <w:p>
      <w:pPr>
        <w:ind w:left="420"/>
      </w:pPr>
      <w:r>
        <w:t xml:space="preserve">1. die in der Rechtsverordnung nach § 58 Abs. 1 des Bundespolizeigesetzes bestimmte Bundespolizeibehörde und die mit grenzpolizeilichen Aufgaben betrauten Stellen,</w:t>
      </w:r>
    </w:p>
    <w:p>
      <w:pPr>
        <w:ind w:left="420"/>
      </w:pPr>
      <w:r>
        <w:t xml:space="preserve">2. das Bundesamt für Migration und Flüchtlinge,</w:t>
      </w:r>
    </w:p>
    <w:p>
      <w:pPr>
        <w:ind w:left="420"/>
      </w:pPr>
      <w:r>
        <w:t xml:space="preserve">3. das Bundeskriminalamt,</w:t>
      </w:r>
    </w:p>
    <w:p>
      <w:pPr>
        <w:ind w:left="420"/>
      </w:pPr>
      <w:r>
        <w:t xml:space="preserve">4. die Landeskriminalämter,</w:t>
      </w:r>
    </w:p>
    <w:p>
      <w:pPr>
        <w:ind w:left="420"/>
      </w:pPr>
      <w:r>
        <w:t xml:space="preserve">5. sonstige Polizeivollzugsbehörden des Bundes und der Länder,</w:t>
      </w:r>
    </w:p>
    <w:p>
      <w:pPr>
        <w:ind w:left="420"/>
      </w:pPr>
      <w:r>
        <w:t xml:space="preserve">6. die Ausländerbehörden und Aufnahmeeinrichtungen oder Stellen nach § 88 Absatz 3 des Asylgesetzes,</w:t>
      </w:r>
    </w:p>
    <w:p>
      <w:pPr>
        <w:ind w:left="420"/>
      </w:pPr>
      <w:r>
        <w:t xml:space="preserve">7. die Träger der Sozialhilfe, die Bundesagentur für Arbeit und die für die Durchführung der Grundsicherung für Arbeitsuchende zuständigen Stellen, die für die Durchführung des Asylbewerberleistungsgesetzes zuständigen Stellen und die Jugendämter,</w:t>
      </w:r>
    </w:p>
    <w:p>
      <w:pPr>
        <w:ind w:left="420"/>
      </w:pPr>
      <w:r>
        <w:t xml:space="preserve">8. die in § 20 Abs. 1 bezeichneten öffentlichen Stellen,</w:t>
      </w:r>
    </w:p>
    <w:p>
      <w:pPr>
        <w:ind w:left="420"/>
      </w:pPr>
      <w:r>
        <w:t xml:space="preserve">9. die Gerichte und Staatsanwaltschaften,</w:t>
      </w:r>
    </w:p>
    <w:p>
      <w:pPr>
        <w:ind w:left="420"/>
      </w:pPr>
      <w:r>
        <w:t xml:space="preserve">10. die Bundesagentur für Arbeit und die Behörden der Zollverwaltung,</w:t>
      </w:r>
    </w:p>
    <w:p>
      <w:pPr>
        <w:ind w:left="420"/>
      </w:pPr>
      <w:r>
        <w:t xml:space="preserve">11. die obersten Bundes- und Landesbehörden, die mit der Durchführung ausländer-, asyl- und passrechtlicher Vorschriften als eigener Aufgabe betraut sind, soweit nicht § 21 anzuwenden ist,</w:t>
      </w:r>
    </w:p>
    <w:p>
      <w:pPr>
        <w:ind w:left="420"/>
      </w:pPr>
      <w:r>
        <w:t xml:space="preserve">12. die Zentralstelle für Finanztransaktionsuntersuchungen,</w:t>
      </w:r>
    </w:p>
    <w:p>
      <w:pPr>
        <w:ind w:left="420"/>
      </w:pPr>
      <w:r>
        <w:t xml:space="preserve">13. die Zentralstelle für Sanktionsdurchsetzung,</w:t>
      </w:r>
    </w:p>
    <w:p>
      <w:pPr>
        <w:ind w:left="420"/>
      </w:pPr>
      <w:r>
        <w:t xml:space="preserve">14. die deutschen Auslandsvertretungen und das Bundesamt für Auswärtige Angelegenheiten.</w:t>
      </w:r>
    </w:p>
    <w:p>
      <w:r>
        <w:t xml:space="preserve">(2) § 21 Abs. 1 bis 3 und die Übermittlungsregelungen dieses Gesetzes gelten entsprechend.</w:t>
      </w:r>
    </w:p>
    <w:p>
      <w:r>
        <w:t xml:space="preserve">(3) Eine Datenübermittlung an nichtöffentliche Stellen ist unzulässig.</w:t>
      </w:r>
    </w:p>
    <w:p>
      <w:r>
        <w:rPr>
          <w:color w:val="555555"/>
          <w:sz w:val="17"/>
        </w:rPr>
        <w:t xml:space="preserve">Zitiervorschlag: § 32 AZRG</w:t>
      </w:r>
    </w:p>
    <w:p>
      <w:r>
        <w:rPr>
          <w:color w:val="555555"/>
          <w:sz w:val="17"/>
        </w:rPr>
        <w:t xml:space="preserve">Quelle: Bundesamt für Justiz, abgerufen 04.08.2026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